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830E" w14:textId="4010BC89" w:rsidR="00013FA0" w:rsidRDefault="00000000" w:rsidP="00135963">
      <w:pPr>
        <w:pStyle w:val="Heading1"/>
        <w:ind w:left="-5"/>
        <w:jc w:val="center"/>
        <w:rPr>
          <w:u w:val="none"/>
        </w:rPr>
      </w:pPr>
      <w:r w:rsidRPr="007D5420">
        <w:rPr>
          <w:u w:val="none"/>
        </w:rPr>
        <w:t>Justice on Life Support: The Federal Defunding of Specialty Courts and Its Human Toll</w:t>
      </w:r>
    </w:p>
    <w:p w14:paraId="2A5B7C7D" w14:textId="77777777" w:rsidR="007D5420" w:rsidRPr="007D5420" w:rsidRDefault="007D5420" w:rsidP="007D5420">
      <w:pPr>
        <w:rPr>
          <w:lang w:val="en-US" w:eastAsia="en-US"/>
        </w:rPr>
      </w:pPr>
    </w:p>
    <w:p w14:paraId="4C7B6434" w14:textId="77777777" w:rsidR="004D4B05" w:rsidRDefault="00000000" w:rsidP="007D5420">
      <w:pPr>
        <w:spacing w:after="17" w:line="259" w:lineRule="auto"/>
        <w:ind w:left="-5" w:hanging="10"/>
        <w:jc w:val="center"/>
        <w:rPr>
          <w:bCs/>
          <w:i/>
        </w:rPr>
      </w:pPr>
      <w:r w:rsidRPr="007D5420">
        <w:rPr>
          <w:bCs/>
          <w:i/>
        </w:rPr>
        <w:t xml:space="preserve">By: Megan McDonough </w:t>
      </w:r>
    </w:p>
    <w:p w14:paraId="438AD18C" w14:textId="77777777" w:rsidR="004D4B05" w:rsidRDefault="004D4B05" w:rsidP="007D5420">
      <w:pPr>
        <w:spacing w:after="17" w:line="259" w:lineRule="auto"/>
        <w:ind w:left="-5" w:hanging="10"/>
        <w:jc w:val="center"/>
        <w:rPr>
          <w:bCs/>
          <w:i/>
        </w:rPr>
      </w:pPr>
    </w:p>
    <w:p w14:paraId="59F99204" w14:textId="34BFF79B" w:rsidR="00013FA0" w:rsidRPr="004D4B05" w:rsidRDefault="00000000" w:rsidP="007D5420">
      <w:pPr>
        <w:spacing w:after="17" w:line="259" w:lineRule="auto"/>
        <w:ind w:left="-5" w:hanging="10"/>
        <w:jc w:val="center"/>
        <w:rPr>
          <w:b/>
          <w:iCs/>
        </w:rPr>
      </w:pPr>
      <w:r w:rsidRPr="004D4B05">
        <w:rPr>
          <w:b/>
          <w:iCs/>
        </w:rPr>
        <w:t>Opinion</w:t>
      </w:r>
    </w:p>
    <w:p w14:paraId="56638CE0" w14:textId="77777777" w:rsidR="00013FA0" w:rsidRDefault="00000000">
      <w:pPr>
        <w:spacing w:after="17" w:line="259" w:lineRule="auto"/>
        <w:ind w:firstLine="0"/>
      </w:pPr>
      <w:r>
        <w:t xml:space="preserve">  </w:t>
      </w:r>
    </w:p>
    <w:p w14:paraId="44205D05" w14:textId="275EDA4B" w:rsidR="00013FA0" w:rsidRDefault="00000000" w:rsidP="007D5420">
      <w:pPr>
        <w:pStyle w:val="Heading2"/>
        <w:ind w:left="-5"/>
        <w:jc w:val="center"/>
        <w:rPr>
          <w:i w:val="0"/>
          <w:iCs/>
        </w:rPr>
      </w:pPr>
      <w:r w:rsidRPr="007D5420">
        <w:rPr>
          <w:i w:val="0"/>
          <w:iCs/>
        </w:rPr>
        <w:t>The History of the Specialty Drug Court</w:t>
      </w:r>
    </w:p>
    <w:p w14:paraId="2E2BF221" w14:textId="77777777" w:rsidR="00135963" w:rsidRPr="00135963" w:rsidRDefault="00135963" w:rsidP="00135963">
      <w:pPr>
        <w:rPr>
          <w:lang w:val="en-US" w:eastAsia="en-US"/>
        </w:rPr>
      </w:pPr>
    </w:p>
    <w:p w14:paraId="289D5505" w14:textId="77777777" w:rsidR="00013FA0" w:rsidRDefault="00000000" w:rsidP="00135963">
      <w:pPr>
        <w:spacing w:line="276" w:lineRule="auto"/>
        <w:ind w:left="-15"/>
      </w:pPr>
      <w:r>
        <w:t xml:space="preserve">Every Wednesday morning in the Springfield District Court, justice sounds less like the banging of a gavel and more like the resounding applause of recovery. One participant celebrates sixty days of sobriety, one exults after obtaining employment, and another rejoices after regaining custody of her children. Here, justice looks different, far from the traditional adversarial courtroom proceedings that come to mind: no fancy lawyering, no intimidating judge, no opposing counsel, but instead a supportive network of professionals fighting for participants every step of the way. The United States is quietly and quickly dismantling one of the most effective criminal justice efforts. As federal funding gets pulled and various federal resources dry up, specialty drug courts, structures that turn addiction into recovery, are being forced to fight for their survival. This fight is not political; it is personal, affecting thousands of American citizens whose sobriety, recovery, and survival depend on these programs.  </w:t>
      </w:r>
    </w:p>
    <w:p w14:paraId="36D3703E" w14:textId="77777777" w:rsidR="00013FA0" w:rsidRDefault="00000000" w:rsidP="00135963">
      <w:pPr>
        <w:spacing w:line="276" w:lineRule="auto"/>
        <w:ind w:left="-15"/>
      </w:pPr>
      <w:r>
        <w:t>Specialty drug courts like Springfield’s embody a unique form of justice, one that treats addiction as a condition to be cared for rather than a crime to be punished. Their genesis in Miami-Dade County, Florida, in 1989 marked the novel attempt to treat substance-related offenses through a justice system other than incarceration, actively seeking to counter high rates of recidivism and mass incarceration in the city. The program arose as a reaction to confront the failures of mass incarceration due to the “War on Drugs” by treating addiction as the underlying cause of criminal behavior</w:t>
      </w:r>
      <w:r>
        <w:rPr>
          <w:sz w:val="22"/>
          <w:vertAlign w:val="superscript"/>
        </w:rPr>
        <w:footnoteReference w:id="1"/>
      </w:r>
      <w:r>
        <w:rPr>
          <w:sz w:val="22"/>
          <w:vertAlign w:val="superscript"/>
        </w:rPr>
        <w:footnoteReference w:id="2"/>
      </w:r>
      <w:r>
        <w:t xml:space="preserve">. This method proposed a prison diversionary program that effectively combined treatment, accountability, and support through a three-phase model from active addiction to sobriety and supplied participants with the necessary tools and life skills to reach this end goal.  </w:t>
      </w:r>
    </w:p>
    <w:p w14:paraId="6885C2AD" w14:textId="2610E007" w:rsidR="00013FA0" w:rsidRDefault="00000000" w:rsidP="00135963">
      <w:pPr>
        <w:spacing w:line="276" w:lineRule="auto"/>
        <w:ind w:left="-15"/>
      </w:pPr>
      <w:r>
        <w:t>Nearly four decades later, more than 4,000 problem-solving specialty courts have been established nationwide</w:t>
      </w:r>
      <w:r w:rsidR="00D71FAF">
        <w:t>,</w:t>
      </w:r>
      <w:r>
        <w:t xml:space="preserve"> further reinforc</w:t>
      </w:r>
      <w:r w:rsidR="00D71FAF">
        <w:t>ing</w:t>
      </w:r>
      <w:r>
        <w:t xml:space="preserve"> that this model successfully reduces recidivism, restores families, and heals communities </w:t>
      </w:r>
      <w:r>
        <w:rPr>
          <w:sz w:val="22"/>
          <w:vertAlign w:val="superscript"/>
        </w:rPr>
        <w:t>2</w:t>
      </w:r>
      <w:r>
        <w:t>. With the Council on Criminal Justice’s National Recidivism report finding roughly 68% of Americans are rearrested within just three years, Specialty Courts hold an incredibly valuable solution</w:t>
      </w:r>
      <w:r>
        <w:rPr>
          <w:sz w:val="22"/>
          <w:vertAlign w:val="superscript"/>
        </w:rPr>
        <w:footnoteReference w:id="3"/>
      </w:r>
      <w:r>
        <w:t xml:space="preserve">. Springfield, Massachusetts’s program was </w:t>
      </w:r>
      <w:r>
        <w:lastRenderedPageBreak/>
        <w:t xml:space="preserve">founded in 2017 and stands as a testament to </w:t>
      </w:r>
      <w:r w:rsidR="00D71FAF">
        <w:t>decades of</w:t>
      </w:r>
      <w:r>
        <w:t xml:space="preserve"> success </w:t>
      </w:r>
      <w:r w:rsidR="00135963">
        <w:t>that</w:t>
      </w:r>
      <w:r>
        <w:t xml:space="preserve"> </w:t>
      </w:r>
      <w:r w:rsidR="00135963">
        <w:t>preceded</w:t>
      </w:r>
      <w:r>
        <w:t xml:space="preserve"> </w:t>
      </w:r>
      <w:r w:rsidR="00135963">
        <w:t>it</w:t>
      </w:r>
      <w:r>
        <w:rPr>
          <w:sz w:val="22"/>
          <w:vertAlign w:val="superscript"/>
        </w:rPr>
        <w:footnoteReference w:id="4"/>
      </w:r>
      <w:r>
        <w:t xml:space="preserve">. However, without the necessary federal funding investments of American agencies into the program, the court cannot fund treatment, compensate employees, maintain data collection, or retain resources and training. Preserving specialty drug courts, such as Springfield’s Court Assisted Structured Treatment (CAST) program, is not merely a </w:t>
      </w:r>
      <w:r w:rsidR="00D71FAF">
        <w:t>matter</w:t>
      </w:r>
      <w:r>
        <w:t xml:space="preserve"> of budgeting</w:t>
      </w:r>
      <w:r w:rsidR="00135963">
        <w:t>.</w:t>
      </w:r>
      <w:r>
        <w:t xml:space="preserve"> </w:t>
      </w:r>
      <w:r w:rsidR="00135963">
        <w:t>Still,</w:t>
      </w:r>
      <w:r>
        <w:t xml:space="preserve"> it is an issue of justice itself, and whether our justice system continues to prioritize effective restoration over retribution.  </w:t>
      </w:r>
    </w:p>
    <w:p w14:paraId="6E8A63FA" w14:textId="6A24C649" w:rsidR="00013FA0" w:rsidRDefault="00000000">
      <w:pPr>
        <w:ind w:left="-15"/>
      </w:pPr>
      <w:r>
        <w:t xml:space="preserve">As a current intern for the program, I have had the privilege of witnessing firsthand the depth of care and extensive coordination that is required for it to run. Each week, a </w:t>
      </w:r>
      <w:r w:rsidR="00D71FAF">
        <w:t>group</w:t>
      </w:r>
      <w:r>
        <w:t xml:space="preserve"> of prosecutors, defense attorneys, probation officers, clinicians, recovery coaches, resource partners, and the presiding judge gather to discuss </w:t>
      </w:r>
      <w:r w:rsidR="00D71FAF">
        <w:t xml:space="preserve">the progress of </w:t>
      </w:r>
      <w:r>
        <w:t xml:space="preserve">each of the thirty-five participants. They work as a team to analyze each participant’s </w:t>
      </w:r>
      <w:r w:rsidR="00D71FAF">
        <w:rPr>
          <w:kern w:val="0"/>
          <w14:ligatures w14:val="none"/>
        </w:rPr>
        <w:t>recovery journey, discussing employment, family, relationships, relapses, stressors, and victories, each bringing their specialized,</w:t>
      </w:r>
      <w:r>
        <w:t xml:space="preserve"> diverse perspectives to create tailored responses to each client’s needs. It is remarkable to see how much insight, intention, and collaboration go into shaping each individualized plan, and even more moving to watch those plans translate into real progress in a participant’s life. I have seen plans evolve in real time, watching a participant glow </w:t>
      </w:r>
      <w:r w:rsidR="00D71FAF">
        <w:t>as they walk</w:t>
      </w:r>
      <w:r>
        <w:t xml:space="preserve"> into court with a new job, custody, or just </w:t>
      </w:r>
      <w:r w:rsidR="00D71FAF">
        <w:t xml:space="preserve">having </w:t>
      </w:r>
      <w:r>
        <w:t xml:space="preserve">a good week. </w:t>
      </w:r>
    </w:p>
    <w:p w14:paraId="4E2A54B2" w14:textId="0D5B06CC" w:rsidR="00013FA0" w:rsidRDefault="00000000">
      <w:pPr>
        <w:ind w:left="-15"/>
      </w:pPr>
      <w:r>
        <w:t xml:space="preserve">But this specialty program’s future is uncertain. Despite its recent successes and admirable growth across the nation, federal grants administered </w:t>
      </w:r>
      <w:r w:rsidR="00D71FAF">
        <w:t>by</w:t>
      </w:r>
      <w:r>
        <w:t xml:space="preserve"> national agencies such as the Substance Abuse and Mental Health Services Administration (SAMHSA) have faced significant reductions in recent years, threatening the very foundation on which specialty courts operate</w:t>
      </w:r>
      <w:r>
        <w:rPr>
          <w:sz w:val="22"/>
          <w:vertAlign w:val="superscript"/>
        </w:rPr>
        <w:footnoteReference w:id="5"/>
      </w:r>
      <w:r>
        <w:t>. Without these resources and</w:t>
      </w:r>
      <w:r w:rsidR="00D71FAF">
        <w:t xml:space="preserve"> adequate </w:t>
      </w:r>
      <w:r>
        <w:t xml:space="preserve">funding, courts lose the ability to incorporate treatment providers, collect data on the program, and maintain essential staff members. The consequences of </w:t>
      </w:r>
      <w:r w:rsidR="00D71FAF">
        <w:t>funding</w:t>
      </w:r>
      <w:r>
        <w:t xml:space="preserve"> </w:t>
      </w:r>
      <w:r w:rsidR="00D71FAF">
        <w:t>losses</w:t>
      </w:r>
      <w:r>
        <w:t xml:space="preserve"> extend far beyond individual programs; they jeopardize a successful, evidence-based approach to restorative justice.  </w:t>
      </w:r>
    </w:p>
    <w:p w14:paraId="490019A3" w14:textId="1159073B" w:rsidR="00013FA0" w:rsidRDefault="00000000">
      <w:pPr>
        <w:ind w:left="-15"/>
      </w:pPr>
      <w:r>
        <w:t>The Springfield District Court’s CAST program offers a window into what justice can look like when justice is practiced with a human face. Its indisputable success reveals the transformative power of specialty drug courts and the benefits of prison-diversionary programs over punitive measures. Thus, sustained federal investment is not a matter of generosity but of necessity. A reduction or elimination of fund</w:t>
      </w:r>
      <w:r w:rsidR="00D71FAF">
        <w:t>ing</w:t>
      </w:r>
      <w:r>
        <w:t xml:space="preserve"> </w:t>
      </w:r>
      <w:r w:rsidR="00D71FAF">
        <w:t>for</w:t>
      </w:r>
      <w:r>
        <w:t xml:space="preserve"> these programs would not simply weaken the model</w:t>
      </w:r>
      <w:r w:rsidR="00D71FAF">
        <w:t>;</w:t>
      </w:r>
      <w:r>
        <w:t xml:space="preserve"> it would unravel one of the most effective pathways to long-term recovery, restoration, and safety.  </w:t>
      </w:r>
    </w:p>
    <w:p w14:paraId="3EE0F5D9" w14:textId="77777777" w:rsidR="00D71FAF" w:rsidRDefault="00000000">
      <w:pPr>
        <w:spacing w:after="320"/>
        <w:ind w:left="-15"/>
      </w:pPr>
      <w:r>
        <w:t xml:space="preserve">Specialty drug courts first emerged in the late 1980s as a reaction to the failures of the War on Drugs. The first program was piloted in Miami-Dade County, Florida, in 1989 and served as a radical reimaging of the term </w:t>
      </w:r>
      <w:r w:rsidRPr="00135963">
        <w:rPr>
          <w:i/>
          <w:iCs/>
        </w:rPr>
        <w:t>justice</w:t>
      </w:r>
      <w:r w:rsidR="00135963" w:rsidRPr="00135963">
        <w:rPr>
          <w:i/>
          <w:iCs/>
        </w:rPr>
        <w:t>.</w:t>
      </w:r>
      <w:r w:rsidR="00135963">
        <w:t xml:space="preserve"> </w:t>
      </w:r>
      <w:r>
        <w:t xml:space="preserve">Rather than perpetuating the generational cycle of </w:t>
      </w:r>
      <w:r>
        <w:lastRenderedPageBreak/>
        <w:t>individuals with substance use disorder and co-occurring mental health issues through jails, the court sought to treat the underlying causes of criminal behavior and address them through structured court treatment, supervision, and accountability. The court operated on a three-phase model: stabilization, treatment, and reintegration, requiring participants to undergo a variety of terms and conditions. Participants were subject to therapy, required to maintain sobriety through verified and frequent testing, and to appear before the court regularly. The success of the program in reducing recidivism and improving treatment outcomes motivated the federal government to begin funding similar problem-solving courts across the U.S. A short time later,</w:t>
      </w:r>
      <w:r w:rsidR="00D71FAF">
        <w:t xml:space="preserve"> in the early 2000s, the model was adopted in </w:t>
      </w:r>
      <w:r>
        <w:t xml:space="preserve">Massachusetts, eventually expanding to include veterans, young offenders, mental-health, and family-treatment courts </w:t>
      </w:r>
      <w:r>
        <w:rPr>
          <w:sz w:val="22"/>
          <w:vertAlign w:val="superscript"/>
        </w:rPr>
        <w:t>6</w:t>
      </w:r>
      <w:r>
        <w:t>.  When the Springfield District Court launched its Court-Assisted Structured Treatment Program, it followed the evidence-based blueprint from Florida. It combined intensive judicial supervision with personalized and individual-level clinical care. As a Deputy Supervisor of the District Court for the Hampden County District Attorney’s Office, Deborah Roberge has been involved since the program’s inception.</w:t>
      </w:r>
    </w:p>
    <w:p w14:paraId="23E46E6A" w14:textId="471FE213" w:rsidR="00013FA0" w:rsidRDefault="00000000">
      <w:pPr>
        <w:spacing w:after="320"/>
        <w:ind w:left="-15"/>
      </w:pPr>
      <w:r>
        <w:t xml:space="preserve">Reflecting on the program’s early days, she recalled, “I didn’t know anything about drug court… Judge Groce explained this great new program that sounded like everything I kinda thought probation should be and never was, especially for folks in recovery.” Her description captures the philosophical shift at the very heart of the movement, a novel change in the justice system to prioritize rehabilitation rather than retribution. Roberge later explained, </w:t>
      </w:r>
      <w:r w:rsidR="007D5420">
        <w:t>“the</w:t>
      </w:r>
      <w:r>
        <w:t xml:space="preserve"> overarching design is to reduce recidivism and prevent our participants’ re-entry into the criminal justice system,” but she was quick to add that the goals of the program reach far beyond statistics. “What we hope to accomplish is a lot more,” she noted. “That we can change lives and change communities and bring hope and family and connection to people who are suffering.” These sentiments are at the very core of the founding ideals of the Miami-Dade model and the broader restorative justice movement; justice that measures success not by conviction rates but by rebuilding lives and communities (Winick and Wexler, 2003). Nearly two decades later, Springfield’s CAST team has evolved in both size and operations. What started as “six people at the table,” Roberge explained, has since grown into “twenty to twenty-five” professionals, including judges, prosecutors, defense attorneys, probation officers, clinicians, and recovery coaches. The court’s multidisciplinary collaboration exemplifies what scholars </w:t>
      </w:r>
      <w:r w:rsidR="007D5420">
        <w:t>refer to as the</w:t>
      </w:r>
      <w:r>
        <w:t xml:space="preserve"> term</w:t>
      </w:r>
      <w:r w:rsidR="00135963">
        <w:t xml:space="preserve"> </w:t>
      </w:r>
      <w:r w:rsidRPr="007D5420">
        <w:rPr>
          <w:i/>
          <w:iCs/>
        </w:rPr>
        <w:t>therapeutic jurisprudence</w:t>
      </w:r>
      <w:r>
        <w:t xml:space="preserve">, “the use of law and legal processes to produce positive </w:t>
      </w:r>
    </w:p>
    <w:p w14:paraId="0D6C9714" w14:textId="77777777" w:rsidR="00013FA0" w:rsidRDefault="00000000">
      <w:pPr>
        <w:spacing w:after="166" w:line="259" w:lineRule="auto"/>
        <w:ind w:firstLine="0"/>
      </w:pPr>
      <w:r>
        <w:rPr>
          <w:rFonts w:ascii="Calibri" w:eastAsia="Calibri" w:hAnsi="Calibri" w:cs="Calibri"/>
          <w:noProof/>
          <w:sz w:val="22"/>
        </w:rPr>
        <mc:AlternateContent>
          <mc:Choice Requires="wpg">
            <w:drawing>
              <wp:inline distT="0" distB="0" distL="0" distR="0" wp14:anchorId="71223EE0" wp14:editId="49D31208">
                <wp:extent cx="1828800" cy="9525"/>
                <wp:effectExtent l="0" t="0" r="0" b="0"/>
                <wp:docPr id="32107" name="Group 32107"/>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1937" name="Shape 1937"/>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2107" style="width:144pt;height:0.75pt;mso-position-horizontal-relative:char;mso-position-vertical-relative:line" coordsize="18288,95">
                <v:shape id="Shape 1937" style="position:absolute;width:18288;height:0;left:0;top:0;" coordsize="1828800,0" path="m0,0l1828800,0">
                  <v:stroke weight="0.75pt" endcap="flat" joinstyle="miter" miterlimit="10" on="true" color="#000000"/>
                  <v:fill on="false" color="#000000" opacity="0"/>
                </v:shape>
              </v:group>
            </w:pict>
          </mc:Fallback>
        </mc:AlternateContent>
      </w:r>
    </w:p>
    <w:p w14:paraId="19EC8115" w14:textId="77777777" w:rsidR="00013FA0" w:rsidRPr="00135963" w:rsidRDefault="00000000">
      <w:pPr>
        <w:spacing w:after="11" w:line="267" w:lineRule="auto"/>
        <w:ind w:left="-5" w:hanging="10"/>
        <w:rPr>
          <w:sz w:val="20"/>
          <w:szCs w:val="20"/>
        </w:rPr>
      </w:pPr>
      <w:r w:rsidRPr="00135963">
        <w:rPr>
          <w:sz w:val="20"/>
          <w:szCs w:val="20"/>
          <w:vertAlign w:val="superscript"/>
        </w:rPr>
        <w:t>6</w:t>
      </w:r>
      <w:r w:rsidRPr="00135963">
        <w:rPr>
          <w:sz w:val="20"/>
          <w:szCs w:val="20"/>
        </w:rPr>
        <w:t xml:space="preserve"> Mass. Trial Court, Trial Court Awarded Two Federal Grants to Expand Court-Based Mental Health and </w:t>
      </w:r>
    </w:p>
    <w:p w14:paraId="2120B98E" w14:textId="77777777" w:rsidR="00013FA0" w:rsidRPr="00135963" w:rsidRDefault="00000000">
      <w:pPr>
        <w:spacing w:after="11" w:line="267" w:lineRule="auto"/>
        <w:ind w:left="-5" w:hanging="10"/>
        <w:rPr>
          <w:sz w:val="20"/>
          <w:szCs w:val="20"/>
        </w:rPr>
      </w:pPr>
      <w:r w:rsidRPr="00135963">
        <w:rPr>
          <w:sz w:val="20"/>
          <w:szCs w:val="20"/>
        </w:rPr>
        <w:t xml:space="preserve">Substance Use Disorder Services for Specialty Courts in Boston and Springfield, Mass.gov (Oct. 13, </w:t>
      </w:r>
    </w:p>
    <w:p w14:paraId="7F7B3587" w14:textId="77777777" w:rsidR="00013FA0" w:rsidRPr="00135963" w:rsidRDefault="00000000">
      <w:pPr>
        <w:spacing w:after="11" w:line="267" w:lineRule="auto"/>
        <w:ind w:left="-5" w:hanging="10"/>
        <w:rPr>
          <w:sz w:val="20"/>
          <w:szCs w:val="20"/>
        </w:rPr>
      </w:pPr>
      <w:r w:rsidRPr="00135963">
        <w:rPr>
          <w:sz w:val="20"/>
          <w:szCs w:val="20"/>
        </w:rPr>
        <w:t xml:space="preserve">2023), https://www.mass.gov/news/trial-court-awarded-two-federal-grants-to-expand-court-based-mental-healthand-substance-use-disorder-services-for-specialty-courts-in-boston-and-springfield </w:t>
      </w:r>
    </w:p>
    <w:p w14:paraId="34C17E0B" w14:textId="44680175" w:rsidR="00013FA0" w:rsidRDefault="00000000">
      <w:pPr>
        <w:ind w:left="-15" w:firstLine="0"/>
      </w:pPr>
      <w:r>
        <w:lastRenderedPageBreak/>
        <w:t>behavioral change</w:t>
      </w:r>
      <w:r>
        <w:rPr>
          <w:sz w:val="22"/>
          <w:vertAlign w:val="superscript"/>
        </w:rPr>
        <w:footnoteReference w:id="6"/>
      </w:r>
      <w:r>
        <w:t>. As Roberge observed, “Everybody who has thoughts on a situation or a participant or how to improve their trajectory… to maintain their recovery… I get a voice… I feel really privileged to be an equal at that table.” Her insight underscores how Springfield’s model mirrors the history and evolution of specialty courts</w:t>
      </w:r>
      <w:r w:rsidR="00D71FAF">
        <w:t>,</w:t>
      </w:r>
      <w:r>
        <w:t xml:space="preserve"> transforming the courtroom environment into a place where accountability and empathy can coexist, and justice itself becomes the vessel for recovery.  </w:t>
      </w:r>
    </w:p>
    <w:p w14:paraId="7E0D4B87" w14:textId="77777777" w:rsidR="00013FA0" w:rsidRDefault="00000000">
      <w:pPr>
        <w:spacing w:after="17" w:line="259" w:lineRule="auto"/>
        <w:ind w:left="720" w:firstLine="0"/>
      </w:pPr>
      <w:r>
        <w:t xml:space="preserve"> </w:t>
      </w:r>
    </w:p>
    <w:p w14:paraId="5F176A95" w14:textId="5F6CE06E" w:rsidR="00013FA0" w:rsidRDefault="00000000" w:rsidP="007D5420">
      <w:pPr>
        <w:pStyle w:val="Heading2"/>
        <w:ind w:left="-5"/>
        <w:jc w:val="center"/>
        <w:rPr>
          <w:i w:val="0"/>
          <w:iCs/>
        </w:rPr>
      </w:pPr>
      <w:r w:rsidRPr="007D5420">
        <w:rPr>
          <w:i w:val="0"/>
          <w:iCs/>
        </w:rPr>
        <w:t>Inside the Courtroom</w:t>
      </w:r>
    </w:p>
    <w:p w14:paraId="319FC515" w14:textId="77777777" w:rsidR="00135963" w:rsidRPr="00135963" w:rsidRDefault="00135963" w:rsidP="00135963">
      <w:pPr>
        <w:rPr>
          <w:lang w:val="en-US" w:eastAsia="en-US"/>
        </w:rPr>
      </w:pPr>
    </w:p>
    <w:p w14:paraId="2060CF97" w14:textId="77777777" w:rsidR="00013FA0" w:rsidRDefault="00000000">
      <w:pPr>
        <w:ind w:left="-15"/>
      </w:pPr>
      <w:r>
        <w:t xml:space="preserve">My first day inside the Springfield Drug Court challenged nearly every assumption I held about what a courtroom was “supposed to look like”. Rather than adversarial tension, the room thrived on collaboration; instead of formal detachment, there was a sense of family. Here, progress-tracking and encouragement replaced punitive emphasis and repercussions. The traditional architecture of prosecution versus defense simply does not exist in the room. In its place was a diverse multidisciplinary team of professionals who were collectively devoted to rehabilitating and restoring the dignity of each person who walked through the door.   </w:t>
      </w:r>
    </w:p>
    <w:p w14:paraId="3D089831" w14:textId="6F8FB83C" w:rsidR="00013FA0" w:rsidRDefault="00000000">
      <w:pPr>
        <w:ind w:left="-15"/>
      </w:pPr>
      <w:r>
        <w:t>The most revealing moments came during the graduation ceremony. These ceremonies, equal parts celebratory and deeply reflective, marked the culmination of months, even years, of sustained effort. Graduates spoke about their journey through the program and the opportunities that would have been impossible without it. Many explained that drug court was their “get out of jail free card</w:t>
      </w:r>
      <w:r w:rsidR="00D71FAF">
        <w:t>.”</w:t>
      </w:r>
      <w:r>
        <w:t xml:space="preserve"> They did not enter expecting sobriety. Yet over time, the court’s expectations, sense of family, community support, and the small wins accumulated into something larger: the belief that a different life was possible. They reflected on reconnecting with family, maintaining employment, navigating addiction, and rebuilding trust with not only loved ones but with themselves. The courtroom, often imagined as a space of finality, became a site of renewal. For the staff, the judge, and the participants, these milestones were not merely procedural endpoints but a testament </w:t>
      </w:r>
      <w:r w:rsidR="00D71FAF">
        <w:t xml:space="preserve">to the fact </w:t>
      </w:r>
      <w:r>
        <w:t>that justice comes in many forms. As the current presiding Judge McKenna reflected, “A lot of these guys have hit rock bottom and it’s amazing to see them come out of the deep hole they are in to achieve great success… to become clean and have a future that is substance</w:t>
      </w:r>
      <w:r w:rsidR="007D5420">
        <w:t>-</w:t>
      </w:r>
      <w:r>
        <w:t xml:space="preserve">free where they can get their children and lives back.” That, he said </w:t>
      </w:r>
    </w:p>
    <w:p w14:paraId="0DC35C75" w14:textId="77777777" w:rsidR="00013FA0" w:rsidRDefault="00000000">
      <w:pPr>
        <w:spacing w:after="26"/>
        <w:ind w:left="-15" w:firstLine="0"/>
      </w:pPr>
      <w:r>
        <w:t xml:space="preserve">“strikes home, that we are able to help everyone in their recovery.” </w:t>
      </w:r>
    </w:p>
    <w:p w14:paraId="1ABEA104" w14:textId="13CED26F" w:rsidR="00013FA0" w:rsidRDefault="00000000">
      <w:pPr>
        <w:ind w:left="-15" w:firstLine="0"/>
      </w:pPr>
      <w:r>
        <w:t xml:space="preserve"> </w:t>
      </w:r>
      <w:r>
        <w:tab/>
        <w:t xml:space="preserve">Yet what </w:t>
      </w:r>
      <w:r w:rsidR="007D5420">
        <w:t>struck</w:t>
      </w:r>
      <w:r>
        <w:t xml:space="preserve"> me just as deeply as the graduations were the ordinary weekly sessions. On any given Wednesday, dozens of participants flooded into the courtroom, checking in, reporting progress, and owning setbacks. Some approached the podium visibly exhausted or experiencing withdrawal, body trembling, and voice shaking. Even then, they spoke with conviction about their sobriety goals, employment aspirations, strained relationships, cravings, and the days they fought to stay on track. Witnessing someone stand before a room full of </w:t>
      </w:r>
      <w:r>
        <w:lastRenderedPageBreak/>
        <w:t xml:space="preserve">attorneys, clinicians, and strangers to say, “I am trying,” was a reminder that perseverance is not some theoretical concept. It is a physical act of showing up, speaking out, and refusing to let your mistakes dictate your future. Judge McKenna describes the resilience he sees on a routine basis and how participants show up and are active participants in their recovery journeys. However, he added an important condition: this transformation is dependent on the availability of resources. “If participants aren’t getting the level of care that they are currently receiving, then they might not show progress they are showing because there are so many different hands involved.” He goes on to describe the team of clinicians, resource partners, parole officers, and recovery coaches that provide immediate support to struggling clients, and a reduction in funds could limit the number of clinicians or coaches available to provide this critical assistance. Currently, the Springfield District </w:t>
      </w:r>
      <w:r w:rsidR="00D71FAF">
        <w:t>C</w:t>
      </w:r>
      <w:r>
        <w:t xml:space="preserve">ourt has multiple clinicians, some of whom are through the MISSION grant, a federal investment that enables the court to provide intensive, evidence-based treatment to participants who would otherwise have </w:t>
      </w:r>
      <w:r w:rsidR="00D71FAF">
        <w:t>limited</w:t>
      </w:r>
      <w:r>
        <w:t xml:space="preserve"> access to quality care. </w:t>
      </w:r>
    </w:p>
    <w:p w14:paraId="1E33C5E3" w14:textId="5ECA753C" w:rsidR="00013FA0" w:rsidRDefault="00000000">
      <w:pPr>
        <w:ind w:left="-15" w:firstLine="0"/>
      </w:pPr>
      <w:r>
        <w:t xml:space="preserve"> </w:t>
      </w:r>
      <w:r>
        <w:tab/>
        <w:t xml:space="preserve">What makes these moments possible is not only the judge and attorneys but the network of support that works behind the scenes. As Andrea Fryar, a recovery support navigator for the program, explained, “every week looks different. Sometimes it’s really great news – maybe someone gained custody back of their child – and we do celebrate every accomplishment.” Her role extends far beyond paperwork. “I </w:t>
      </w:r>
      <w:proofErr w:type="gramStart"/>
      <w:r>
        <w:t>am able to</w:t>
      </w:r>
      <w:proofErr w:type="gramEnd"/>
      <w:r>
        <w:t xml:space="preserve"> meet with these clients every single week, not only at court but also in the community… whether it's a job application, looking for employment, CORI-friendly jobs, or housing support. I kind of meet them where they are at because everyone needs something different.” Specialty court is often described as a treatment mode, but in practice, it is a model of relationships that is built on consistent presence, weekly contact, and unwavering commitment and advocacy.  </w:t>
      </w:r>
    </w:p>
    <w:p w14:paraId="433B481E" w14:textId="23F9352F" w:rsidR="00013FA0" w:rsidRDefault="00000000">
      <w:pPr>
        <w:ind w:left="-15" w:firstLine="0"/>
      </w:pPr>
      <w:r>
        <w:t xml:space="preserve"> </w:t>
      </w:r>
      <w:r>
        <w:tab/>
        <w:t xml:space="preserve">That support becomes even more vital when crises unfold. One participant fleeing from domestic violence needed emergency shelter for herself and her children. Finding placement was nearly impossible because one of her children </w:t>
      </w:r>
      <w:r w:rsidR="00D71FAF">
        <w:t>was</w:t>
      </w:r>
      <w:r>
        <w:t xml:space="preserve"> eighteen. Andrea and the team </w:t>
      </w:r>
      <w:r w:rsidR="00D71FAF">
        <w:t>brainstormed</w:t>
      </w:r>
      <w:r>
        <w:t xml:space="preserve"> during staff meetings, and Andrea personally took the time to </w:t>
      </w:r>
      <w:r w:rsidR="00D71FAF">
        <w:t>review</w:t>
      </w:r>
      <w:r>
        <w:t xml:space="preserve"> applications, wait lists, and follow-ups with the participant. The team eventually secured a safe environment for the family with the persistence of the participant</w:t>
      </w:r>
      <w:r w:rsidR="00D71FAF">
        <w:t>,</w:t>
      </w:r>
      <w:r>
        <w:t xml:space="preserve"> who refused to give up. The court’s flexibility was striking. “She might not be able to go to sessions some days, but instead attend through Zoom.” Andrea explained, “When she fled, she fled with very little,” and the court organized a drive so she could receive basic necessities for herself and her children. Some of the most meaningful work the court does, helping people escape abuse, obtain shelter, </w:t>
      </w:r>
      <w:r w:rsidR="007D5420">
        <w:t xml:space="preserve">and </w:t>
      </w:r>
      <w:r>
        <w:t xml:space="preserve">supply necessities, does not show up in data and reports, which shows that the impact of these courts truly cannot be measured or fully captured.   </w:t>
      </w:r>
    </w:p>
    <w:p w14:paraId="544A78A5" w14:textId="77777777" w:rsidR="00013FA0" w:rsidRDefault="00000000">
      <w:pPr>
        <w:spacing w:after="17" w:line="259" w:lineRule="auto"/>
        <w:ind w:firstLine="0"/>
      </w:pPr>
      <w:r>
        <w:t xml:space="preserve"> </w:t>
      </w:r>
    </w:p>
    <w:p w14:paraId="482BC423" w14:textId="77777777" w:rsidR="00135963" w:rsidRDefault="00135963" w:rsidP="007D5420">
      <w:pPr>
        <w:pStyle w:val="Heading2"/>
        <w:ind w:left="-5"/>
        <w:jc w:val="center"/>
        <w:rPr>
          <w:i w:val="0"/>
          <w:iCs/>
        </w:rPr>
      </w:pPr>
    </w:p>
    <w:p w14:paraId="569AB227" w14:textId="77777777" w:rsidR="00135963" w:rsidRDefault="00135963" w:rsidP="007D5420">
      <w:pPr>
        <w:pStyle w:val="Heading2"/>
        <w:ind w:left="-5"/>
        <w:jc w:val="center"/>
        <w:rPr>
          <w:i w:val="0"/>
          <w:iCs/>
        </w:rPr>
      </w:pPr>
    </w:p>
    <w:p w14:paraId="4803324D" w14:textId="07B16BBF" w:rsidR="00013FA0" w:rsidRDefault="00000000" w:rsidP="007D5420">
      <w:pPr>
        <w:pStyle w:val="Heading2"/>
        <w:ind w:left="-5"/>
        <w:jc w:val="center"/>
        <w:rPr>
          <w:i w:val="0"/>
          <w:iCs/>
        </w:rPr>
      </w:pPr>
      <w:r w:rsidRPr="007D5420">
        <w:rPr>
          <w:i w:val="0"/>
          <w:iCs/>
        </w:rPr>
        <w:t>The Power of Federal Grants</w:t>
      </w:r>
    </w:p>
    <w:p w14:paraId="3194CC57" w14:textId="77777777" w:rsidR="00135963" w:rsidRPr="00135963" w:rsidRDefault="00135963" w:rsidP="00135963">
      <w:pPr>
        <w:rPr>
          <w:lang w:val="en-US" w:eastAsia="en-US"/>
        </w:rPr>
      </w:pPr>
    </w:p>
    <w:p w14:paraId="3DAD7E14" w14:textId="4F04BA73" w:rsidR="00013FA0" w:rsidRDefault="00000000">
      <w:pPr>
        <w:ind w:left="-15"/>
      </w:pPr>
      <w:r>
        <w:lastRenderedPageBreak/>
        <w:t>The growth and sustainability of specialty drug courts across America have relied tremendously on federal funding to operate</w:t>
      </w:r>
      <w:r>
        <w:rPr>
          <w:sz w:val="22"/>
          <w:vertAlign w:val="superscript"/>
        </w:rPr>
        <w:footnoteReference w:id="7"/>
      </w:r>
      <w:r>
        <w:t>. Through programs administered by federal agencies such as the Bureau of Justice Assistance (BJA) and the Substance Abuse and Mental Health Services Administration (SAMHSA), courts can apply for competitive grants to support treatment services, staff</w:t>
      </w:r>
      <w:r w:rsidR="00D71FAF">
        <w:t xml:space="preserve"> training</w:t>
      </w:r>
      <w:r>
        <w:t xml:space="preserve">, </w:t>
      </w:r>
      <w:r w:rsidR="00D71FAF">
        <w:t xml:space="preserve">among </w:t>
      </w:r>
      <w:r>
        <w:t>other benefits</w:t>
      </w:r>
      <w:r>
        <w:rPr>
          <w:sz w:val="22"/>
          <w:vertAlign w:val="superscript"/>
        </w:rPr>
        <w:footnoteReference w:id="8"/>
      </w:r>
      <w:r>
        <w:t xml:space="preserve">. This funding has been integral in transforming the drug court model from a local experiment in Florida </w:t>
      </w:r>
      <w:r w:rsidR="00D71FAF">
        <w:t>in</w:t>
      </w:r>
      <w:r>
        <w:t xml:space="preserve">to a national movement </w:t>
      </w:r>
      <w:r w:rsidR="00D71FAF">
        <w:t>encompassing</w:t>
      </w:r>
      <w:r>
        <w:t xml:space="preserve"> over 4,000 problem-solving courts</w:t>
      </w:r>
      <w:r>
        <w:rPr>
          <w:sz w:val="22"/>
          <w:vertAlign w:val="superscript"/>
        </w:rPr>
        <w:footnoteReference w:id="9"/>
      </w:r>
      <w:r>
        <w:t xml:space="preserve">.  </w:t>
      </w:r>
    </w:p>
    <w:p w14:paraId="43CA9165" w14:textId="0ECDAD33" w:rsidR="00013FA0" w:rsidRDefault="00000000">
      <w:pPr>
        <w:ind w:left="-15"/>
      </w:pPr>
      <w:r>
        <w:t>The infrastructure that allows these courts to operate, the system of treatment providers, probation officers, recovery coaches, resource navigators, etc., exists because federal funding ensures that the model is not driven merely by intuition but through evidence-based practices</w:t>
      </w:r>
      <w:r>
        <w:rPr>
          <w:sz w:val="22"/>
          <w:vertAlign w:val="superscript"/>
        </w:rPr>
        <w:footnoteReference w:id="10"/>
      </w:r>
      <w:r>
        <w:t xml:space="preserve">. </w:t>
      </w:r>
    </w:p>
    <w:p w14:paraId="4D389826" w14:textId="77777777" w:rsidR="00013FA0" w:rsidRDefault="00000000">
      <w:pPr>
        <w:ind w:left="-15" w:firstLine="0"/>
      </w:pPr>
      <w:r>
        <w:t xml:space="preserve">Yet, recent reductions in federal grants have placed this entire system at risk. As resource partner Andrea Fryar explained, “in the past [Project North] (a recovery navigation resource) was grant-funded. Some of my coworkers, unfortunately, lost their jobs because of their agency.” To keep the service afloat, Springfield’s Project North had to convert to billing services through insurance, a fix that preserved operations but drastically limited capacity.  </w:t>
      </w:r>
    </w:p>
    <w:p w14:paraId="0F31B616" w14:textId="4E823623" w:rsidR="00013FA0" w:rsidRDefault="00000000">
      <w:pPr>
        <w:ind w:left="-15"/>
      </w:pPr>
      <w:r>
        <w:t>Shifts such as these</w:t>
      </w:r>
      <w:r w:rsidR="00D71FAF">
        <w:t>,</w:t>
      </w:r>
      <w:r>
        <w:t xml:space="preserve"> or other </w:t>
      </w:r>
      <w:r w:rsidR="00D71FAF">
        <w:t>significant</w:t>
      </w:r>
      <w:r>
        <w:t xml:space="preserve"> changes when logistics are forced to change due to funding, support, or resource</w:t>
      </w:r>
      <w:r w:rsidR="00D71FAF">
        <w:t xml:space="preserve"> losses,</w:t>
      </w:r>
      <w:r>
        <w:t xml:space="preserve"> have ripple effects on the community. As Fryar noted, when government issued support wavered, “the community really started to panic. I had to send out information on food banks because people were so worried they would not be able to feed their family.” participants were already balancing court </w:t>
      </w:r>
      <w:r w:rsidR="007D5420">
        <w:t>requirements</w:t>
      </w:r>
      <w:r>
        <w:t xml:space="preserve">, drug testing, probation </w:t>
      </w:r>
      <w:r w:rsidR="007D5420">
        <w:t>meetings</w:t>
      </w:r>
      <w:r>
        <w:t xml:space="preserve">, and recovery suddenly faced food insecurity and the threat of losing the support that made recovery possible. These are not peripheral services but instead the foundation that holds the model up.  </w:t>
      </w:r>
    </w:p>
    <w:p w14:paraId="01231A06" w14:textId="4891A3CD" w:rsidR="00013FA0" w:rsidRDefault="00000000">
      <w:pPr>
        <w:ind w:left="-15" w:firstLine="0"/>
      </w:pPr>
      <w:r>
        <w:t xml:space="preserve"> </w:t>
      </w:r>
      <w:r>
        <w:tab/>
        <w:t>Decades of research, including large-scale reviews and longitudinal studies, have demonstrated that the proper administration of drug courts delivers meaningful reductions in recidivism and helps to stabilize lives. A major review of 154 evaluations found that drug court participants corresponded to an average drop in rates of recidivism from 50% to 38%, a significant reduction that remains up to three years after entry</w:t>
      </w:r>
      <w:r>
        <w:rPr>
          <w:sz w:val="22"/>
          <w:vertAlign w:val="superscript"/>
        </w:rPr>
        <w:footnoteReference w:id="11"/>
      </w:r>
      <w:r>
        <w:t>. Other evaluations consistently show that participants are also significantly less likely to be rearrested</w:t>
      </w:r>
      <w:r w:rsidR="00E826F8">
        <w:t>.</w:t>
      </w:r>
      <w:r>
        <w:t xml:space="preserve"> </w:t>
      </w:r>
      <w:r w:rsidR="00E826F8">
        <w:t>I</w:t>
      </w:r>
      <w:r>
        <w:t xml:space="preserve">n some studies, felony re-arrest rates plummeted from 40% </w:t>
      </w:r>
      <w:r w:rsidR="007D5420">
        <w:t>before</w:t>
      </w:r>
      <w:r>
        <w:t xml:space="preserve"> participation in specialty court to just 12% after, or </w:t>
      </w:r>
      <w:r w:rsidR="00E826F8">
        <w:lastRenderedPageBreak/>
        <w:t xml:space="preserve">from </w:t>
      </w:r>
      <w:r>
        <w:t>50% from 35%</w:t>
      </w:r>
      <w:r>
        <w:rPr>
          <w:sz w:val="22"/>
          <w:vertAlign w:val="superscript"/>
        </w:rPr>
        <w:footnoteReference w:id="12"/>
      </w:r>
      <w:r>
        <w:t xml:space="preserve">. These reductions in re-arrest rates not just prevent future crime but also translate into public cost savings, fewer prison intakes, and genuine stability for recovering individuals who would otherwise cycle through the justice system.  </w:t>
      </w:r>
    </w:p>
    <w:p w14:paraId="3AAA1C37" w14:textId="2B441C18" w:rsidR="00013FA0" w:rsidRDefault="00000000">
      <w:pPr>
        <w:ind w:left="-15"/>
      </w:pPr>
      <w:r>
        <w:t>Federal funds do not just support the employment of judges, attorneys, and clinicians. They sustain access to attentive treatment, keep specialists employed, and preserve the community network that allows people to rebuild their lives. Defunding does not simply weaken the model</w:t>
      </w:r>
      <w:r w:rsidR="00E826F8">
        <w:t xml:space="preserve">; </w:t>
      </w:r>
      <w:r>
        <w:t xml:space="preserve">it dismantles a system that has been </w:t>
      </w:r>
      <w:r>
        <w:rPr>
          <w:i/>
        </w:rPr>
        <w:t xml:space="preserve">proven </w:t>
      </w:r>
      <w:r>
        <w:t xml:space="preserve">to reduce recidivism, restore families, and increase the safety of communities. </w:t>
      </w:r>
    </w:p>
    <w:p w14:paraId="2B094120" w14:textId="77777777" w:rsidR="00013FA0" w:rsidRDefault="00000000">
      <w:pPr>
        <w:spacing w:after="17" w:line="259" w:lineRule="auto"/>
        <w:ind w:firstLine="0"/>
      </w:pPr>
      <w:r>
        <w:t xml:space="preserve"> </w:t>
      </w:r>
    </w:p>
    <w:p w14:paraId="1D143115" w14:textId="02CBFFBF" w:rsidR="00013FA0" w:rsidRDefault="00000000" w:rsidP="007D5420">
      <w:pPr>
        <w:pStyle w:val="Heading2"/>
        <w:spacing w:after="46"/>
        <w:ind w:left="-5"/>
        <w:jc w:val="center"/>
        <w:rPr>
          <w:i w:val="0"/>
          <w:iCs/>
        </w:rPr>
      </w:pPr>
      <w:r w:rsidRPr="007D5420">
        <w:rPr>
          <w:i w:val="0"/>
          <w:iCs/>
        </w:rPr>
        <w:t>Funding Justice Is Not Optional</w:t>
      </w:r>
    </w:p>
    <w:p w14:paraId="2EC56239" w14:textId="77777777" w:rsidR="00135963" w:rsidRPr="00135963" w:rsidRDefault="00135963" w:rsidP="00135963">
      <w:pPr>
        <w:rPr>
          <w:lang w:val="en-US" w:eastAsia="en-US"/>
        </w:rPr>
      </w:pPr>
    </w:p>
    <w:p w14:paraId="2AABBEE8" w14:textId="77777777" w:rsidR="00013FA0" w:rsidRDefault="00000000">
      <w:pPr>
        <w:ind w:left="-15" w:firstLine="0"/>
      </w:pPr>
      <w:r>
        <w:t xml:space="preserve"> </w:t>
      </w:r>
      <w:r>
        <w:tab/>
        <w:t xml:space="preserve">Witnessing this model firsthand transformed my understanding of what justice can be. In my first days in the Springfield District Court, I had been expecting traditional legal procedure. What I discovered was far more profound. People were actively reclaiming their lives before my own eyes. There was nothing abstract about watching a participant make a graduation speech or walk out to a song about survival that </w:t>
      </w:r>
      <w:r w:rsidRPr="007D5420">
        <w:rPr>
          <w:iCs/>
        </w:rPr>
        <w:t>the judge</w:t>
      </w:r>
      <w:r>
        <w:rPr>
          <w:i/>
        </w:rPr>
        <w:t xml:space="preserve"> </w:t>
      </w:r>
      <w:r>
        <w:t xml:space="preserve">was playing for them. There is nothing theoretical about a mother returning to her children or a man getting his first job in years. These are not anecdotes. They are evidence. </w:t>
      </w:r>
    </w:p>
    <w:p w14:paraId="19C7A0AD" w14:textId="77AC4438" w:rsidR="00013FA0" w:rsidRDefault="00000000">
      <w:pPr>
        <w:ind w:left="-15" w:firstLine="0"/>
      </w:pPr>
      <w:r>
        <w:t xml:space="preserve"> </w:t>
      </w:r>
      <w:r>
        <w:tab/>
        <w:t xml:space="preserve">My connection to this work began long before I sat in the courtroom. As an undergraduate at the University of Massachusetts Amherst, I first learned about Springfield’s thriving drug court program from Judge Charles Groce, who pioneered the program in 2017. He taught the course that made me want to understand not only mental illness but recovery, dignity, hope, and justice in a different light. What began as “six people at a table (Attorney Deborah Roberge)” has grown into a program recognized far beyond Massachusetts. It is now a model studied by courts across the nation and a testament of how accountability and compassion can operate in tandem in pursuit of safety and recovery. It is no exaggeration to say his course altered the direction of my education, and standing in his courtroom later confirmed why.   </w:t>
      </w:r>
      <w:r>
        <w:tab/>
        <w:t xml:space="preserve">Despite their great success, the </w:t>
      </w:r>
      <w:r w:rsidR="00E826F8">
        <w:t>model's</w:t>
      </w:r>
      <w:r>
        <w:t xml:space="preserve"> </w:t>
      </w:r>
      <w:r w:rsidR="00E826F8">
        <w:t>future</w:t>
      </w:r>
      <w:r>
        <w:t xml:space="preserve"> </w:t>
      </w:r>
      <w:r w:rsidR="007D5420">
        <w:t>remains</w:t>
      </w:r>
      <w:r>
        <w:t xml:space="preserve"> uncertain. Sustained investment is not a luxury; it is the only way to preserve the incredible network of clinicians, navigators, probation officers, and peer supports that make recovery possible. Judge John McKenna put it plainly, “</w:t>
      </w:r>
      <w:r w:rsidR="007D5420">
        <w:t>I</w:t>
      </w:r>
      <w:r>
        <w:t>f the participants are not getting the level of care they are currently receiving… they are more apt for relapse.” When funding falters, treatment contracts</w:t>
      </w:r>
      <w:r w:rsidR="00E826F8">
        <w:t xml:space="preserve"> and</w:t>
      </w:r>
      <w:r>
        <w:t xml:space="preserve"> staffing positions decrease, and the rampant progress that once felt inevitable becomes fragile. They need to be strengthened, expanded, and supported. </w:t>
      </w:r>
    </w:p>
    <w:p w14:paraId="1A6BD0E3" w14:textId="77777777" w:rsidR="00013FA0" w:rsidRDefault="00000000">
      <w:pPr>
        <w:spacing w:after="25"/>
        <w:ind w:left="-15" w:firstLine="0"/>
      </w:pPr>
      <w:r>
        <w:t xml:space="preserve"> </w:t>
      </w:r>
      <w:r>
        <w:tab/>
        <w:t xml:space="preserve">Specialty courts have proven time and again that they reduce recidivism, stabilize families, and create safe communities. They are no longer an experiment; they are one of the most effective tools we have to treat addiction and crime. To shrink them now would be a </w:t>
      </w:r>
      <w:r>
        <w:lastRenderedPageBreak/>
        <w:t xml:space="preserve">profound failure. The applause that fills the courtroom each week should not be an echoing memory. We owe it to the people who stand at the podium, trembling but determined; the families who get a second chance; to the judges who play walk-out songs so that hope gets a soundtrack. </w:t>
      </w:r>
    </w:p>
    <w:p w14:paraId="3539453F" w14:textId="77777777" w:rsidR="00013FA0" w:rsidRDefault="00000000">
      <w:pPr>
        <w:ind w:left="-15" w:firstLine="0"/>
      </w:pPr>
      <w:r>
        <w:t xml:space="preserve"> </w:t>
      </w:r>
      <w:r>
        <w:tab/>
        <w:t xml:space="preserve">This is not merely a program worth saving. It is a philosophy of justice worth fighting for. Funding is not an act of charity, but a responsibility. A responsibility to evidence, to communities, and to every person whose future depends on the court’s ability to work. It should not be dismantled but defended and allowed to grow.  </w:t>
      </w:r>
    </w:p>
    <w:sectPr w:rsidR="00013FA0">
      <w:headerReference w:type="even" r:id="rId6"/>
      <w:headerReference w:type="default" r:id="rId7"/>
      <w:pgSz w:w="12240" w:h="15840"/>
      <w:pgMar w:top="1497" w:right="14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C760" w14:textId="77777777" w:rsidR="00B55A80" w:rsidRDefault="00B55A80">
      <w:pPr>
        <w:spacing w:after="0" w:line="240" w:lineRule="auto"/>
      </w:pPr>
      <w:r>
        <w:separator/>
      </w:r>
    </w:p>
  </w:endnote>
  <w:endnote w:type="continuationSeparator" w:id="0">
    <w:p w14:paraId="2786A567" w14:textId="77777777" w:rsidR="00B55A80" w:rsidRDefault="00B5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390D" w14:textId="77777777" w:rsidR="00B55A80" w:rsidRDefault="00B55A80">
      <w:pPr>
        <w:spacing w:after="0" w:line="259" w:lineRule="auto"/>
        <w:ind w:firstLine="0"/>
      </w:pPr>
      <w:r>
        <w:separator/>
      </w:r>
    </w:p>
  </w:footnote>
  <w:footnote w:type="continuationSeparator" w:id="0">
    <w:p w14:paraId="626A537B" w14:textId="77777777" w:rsidR="00B55A80" w:rsidRDefault="00B55A80">
      <w:pPr>
        <w:spacing w:after="0" w:line="259" w:lineRule="auto"/>
        <w:ind w:firstLine="0"/>
      </w:pPr>
      <w:r>
        <w:continuationSeparator/>
      </w:r>
    </w:p>
  </w:footnote>
  <w:footnote w:id="1">
    <w:p w14:paraId="50534F45" w14:textId="77777777" w:rsidR="00013FA0" w:rsidRPr="00135963" w:rsidRDefault="00000000">
      <w:pPr>
        <w:pStyle w:val="footnotedescription"/>
        <w:spacing w:line="259" w:lineRule="auto"/>
        <w:rPr>
          <w:sz w:val="20"/>
          <w:szCs w:val="20"/>
        </w:rPr>
      </w:pPr>
      <w:r w:rsidRPr="00135963">
        <w:rPr>
          <w:rStyle w:val="footnotemark"/>
          <w:szCs w:val="20"/>
        </w:rPr>
        <w:footnoteRef/>
      </w:r>
      <w:r w:rsidRPr="00135963">
        <w:rPr>
          <w:sz w:val="20"/>
          <w:szCs w:val="20"/>
        </w:rPr>
        <w:t xml:space="preserve"> Nt. Ct. </w:t>
      </w:r>
      <w:proofErr w:type="spellStart"/>
      <w:r w:rsidRPr="00135963">
        <w:rPr>
          <w:sz w:val="20"/>
          <w:szCs w:val="20"/>
        </w:rPr>
        <w:t>Rsrc</w:t>
      </w:r>
      <w:proofErr w:type="spellEnd"/>
      <w:r w:rsidRPr="00135963">
        <w:rPr>
          <w:sz w:val="20"/>
          <w:szCs w:val="20"/>
        </w:rPr>
        <w:t xml:space="preserve">. Ctr., Dade County’s Felony/Drug Court (Florida) Becomes the Prototype for Future DTCs, </w:t>
      </w:r>
    </w:p>
  </w:footnote>
  <w:footnote w:id="2">
    <w:p w14:paraId="2714E46F" w14:textId="77777777" w:rsidR="00013FA0" w:rsidRPr="00135963" w:rsidRDefault="00000000">
      <w:pPr>
        <w:pStyle w:val="footnotedescription"/>
        <w:spacing w:after="26" w:line="267" w:lineRule="auto"/>
        <w:ind w:right="263"/>
        <w:rPr>
          <w:sz w:val="20"/>
          <w:szCs w:val="20"/>
        </w:rPr>
      </w:pPr>
      <w:r w:rsidRPr="00135963">
        <w:rPr>
          <w:rStyle w:val="footnotemark"/>
          <w:szCs w:val="20"/>
        </w:rPr>
        <w:footnoteRef/>
      </w:r>
      <w:r w:rsidRPr="00135963">
        <w:rPr>
          <w:sz w:val="20"/>
          <w:szCs w:val="20"/>
        </w:rPr>
        <w:t xml:space="preserve"> Fed. Ct. Mgmt. (No. 1) 2 (2023), https://www.uscourts.gov/sites/default/files/72_1_2_0.pdf </w:t>
      </w:r>
      <w:r w:rsidRPr="00135963">
        <w:rPr>
          <w:sz w:val="20"/>
          <w:szCs w:val="20"/>
          <w:vertAlign w:val="superscript"/>
        </w:rPr>
        <w:t>2</w:t>
      </w:r>
      <w:r w:rsidRPr="00135963">
        <w:rPr>
          <w:sz w:val="20"/>
          <w:szCs w:val="20"/>
        </w:rPr>
        <w:t xml:space="preserve"> National Treatment Court Resource Center, Treatment Courts Across the United States (2022) (2023), https://ntcrc.org/wp-content/uploads/2023/11/2022_NTCRC_TreatmentCourt_Count_Table.pdf </w:t>
      </w:r>
    </w:p>
  </w:footnote>
  <w:footnote w:id="3">
    <w:p w14:paraId="678C2C0C" w14:textId="77777777" w:rsidR="00013FA0" w:rsidRPr="00135963" w:rsidRDefault="00000000">
      <w:pPr>
        <w:pStyle w:val="footnotedescription"/>
        <w:spacing w:line="243" w:lineRule="auto"/>
        <w:rPr>
          <w:sz w:val="20"/>
          <w:szCs w:val="20"/>
        </w:rPr>
      </w:pPr>
      <w:r w:rsidRPr="00135963">
        <w:rPr>
          <w:rStyle w:val="footnotemark"/>
          <w:szCs w:val="20"/>
        </w:rPr>
        <w:footnoteRef/>
      </w:r>
      <w:r w:rsidRPr="00135963">
        <w:rPr>
          <w:sz w:val="20"/>
          <w:szCs w:val="20"/>
        </w:rPr>
        <w:t xml:space="preserve"> Council on Criminal Justice, New National Recidivism Report (2021), https://counciloncj.org/recidivism_report/ </w:t>
      </w:r>
    </w:p>
  </w:footnote>
  <w:footnote w:id="4">
    <w:p w14:paraId="0782AB45" w14:textId="77777777" w:rsidR="00013FA0" w:rsidRPr="00135963" w:rsidRDefault="00000000">
      <w:pPr>
        <w:pStyle w:val="footnotedescription"/>
        <w:spacing w:after="6" w:line="276" w:lineRule="auto"/>
        <w:rPr>
          <w:sz w:val="20"/>
          <w:szCs w:val="20"/>
        </w:rPr>
      </w:pPr>
      <w:r w:rsidRPr="00135963">
        <w:rPr>
          <w:rStyle w:val="footnotemark"/>
          <w:szCs w:val="20"/>
        </w:rPr>
        <w:footnoteRef/>
      </w:r>
      <w:r w:rsidRPr="00135963">
        <w:rPr>
          <w:sz w:val="20"/>
          <w:szCs w:val="20"/>
        </w:rPr>
        <w:t xml:space="preserve"> Dave Eisenstadter, New Springfield Drug Court Offers Addicts an Alternative to Prison, Valley Advocate (May 30, 2017), https://valleyadvocate.com/2017/05/30/springfield-drug-court-offers-addicts-alternative </w:t>
      </w:r>
    </w:p>
  </w:footnote>
  <w:footnote w:id="5">
    <w:p w14:paraId="3AF1208D" w14:textId="77777777" w:rsidR="00013FA0" w:rsidRPr="00135963" w:rsidRDefault="00000000">
      <w:pPr>
        <w:pStyle w:val="footnotedescription"/>
        <w:spacing w:after="19" w:line="259" w:lineRule="auto"/>
        <w:jc w:val="both"/>
        <w:rPr>
          <w:sz w:val="20"/>
          <w:szCs w:val="20"/>
        </w:rPr>
      </w:pPr>
      <w:r w:rsidRPr="00135963">
        <w:rPr>
          <w:rStyle w:val="footnotemark"/>
          <w:szCs w:val="20"/>
        </w:rPr>
        <w:footnoteRef/>
      </w:r>
      <w:r w:rsidRPr="00135963">
        <w:rPr>
          <w:sz w:val="20"/>
          <w:szCs w:val="20"/>
        </w:rPr>
        <w:t xml:space="preserve"> Mass. Trial Court, Trial Court Awarded Two Federal Grants to Expand Court-Based Mental Health and </w:t>
      </w:r>
    </w:p>
    <w:p w14:paraId="4F7A9AB0" w14:textId="77777777" w:rsidR="00013FA0" w:rsidRPr="00135963" w:rsidRDefault="00000000">
      <w:pPr>
        <w:pStyle w:val="footnotedescription"/>
        <w:spacing w:line="274" w:lineRule="auto"/>
        <w:rPr>
          <w:sz w:val="20"/>
          <w:szCs w:val="20"/>
        </w:rPr>
      </w:pPr>
      <w:r w:rsidRPr="00135963">
        <w:rPr>
          <w:sz w:val="20"/>
          <w:szCs w:val="20"/>
        </w:rPr>
        <w:t xml:space="preserve">Substance Use Disorder Services for Specialty Courts in Boston and Springfield, mass.gov (July 28, 2020) </w:t>
      </w:r>
    </w:p>
  </w:footnote>
  <w:footnote w:id="6">
    <w:p w14:paraId="2D8D2722" w14:textId="77777777" w:rsidR="00013FA0" w:rsidRPr="00135963" w:rsidRDefault="00000000">
      <w:pPr>
        <w:pStyle w:val="footnotedescription"/>
        <w:rPr>
          <w:sz w:val="20"/>
          <w:szCs w:val="20"/>
        </w:rPr>
      </w:pPr>
      <w:r w:rsidRPr="00135963">
        <w:rPr>
          <w:rStyle w:val="footnotemark"/>
          <w:szCs w:val="20"/>
        </w:rPr>
        <w:footnoteRef/>
      </w:r>
      <w:r w:rsidRPr="00135963">
        <w:rPr>
          <w:sz w:val="20"/>
          <w:szCs w:val="20"/>
        </w:rPr>
        <w:t xml:space="preserve"> David B. Wexler, From Theory to Practice and Back Again in Therapeutic Jurisprudence: Now Comes the Hard Part, 37 T. Jefferson L. Rev. 95 (2016), https://papers.ssrn.com/sol3/papers.cfm?abstract_id=1580129 </w:t>
      </w:r>
    </w:p>
  </w:footnote>
  <w:footnote w:id="7">
    <w:p w14:paraId="1B230AFC" w14:textId="77777777" w:rsidR="00013FA0" w:rsidRPr="00135963" w:rsidRDefault="00000000">
      <w:pPr>
        <w:pStyle w:val="footnotedescription"/>
        <w:spacing w:line="259" w:lineRule="auto"/>
        <w:jc w:val="both"/>
        <w:rPr>
          <w:sz w:val="20"/>
          <w:szCs w:val="20"/>
        </w:rPr>
      </w:pPr>
      <w:r w:rsidRPr="00135963">
        <w:rPr>
          <w:rStyle w:val="footnotemark"/>
          <w:szCs w:val="20"/>
        </w:rPr>
        <w:footnoteRef/>
      </w:r>
      <w:r w:rsidRPr="00135963">
        <w:rPr>
          <w:sz w:val="20"/>
          <w:szCs w:val="20"/>
        </w:rPr>
        <w:t xml:space="preserve"> Bureau of Justice Assistance, Grant Programs, BJA (2021), https://bja.ojp.gov/programs/grant-programs </w:t>
      </w:r>
    </w:p>
  </w:footnote>
  <w:footnote w:id="8">
    <w:p w14:paraId="2A6931E7" w14:textId="77777777" w:rsidR="00013FA0" w:rsidRPr="00135963" w:rsidRDefault="00000000">
      <w:pPr>
        <w:pStyle w:val="footnotedescription"/>
        <w:spacing w:after="17"/>
        <w:rPr>
          <w:sz w:val="20"/>
          <w:szCs w:val="20"/>
        </w:rPr>
      </w:pPr>
      <w:r w:rsidRPr="00135963">
        <w:rPr>
          <w:rStyle w:val="footnotemark"/>
          <w:szCs w:val="20"/>
        </w:rPr>
        <w:footnoteRef/>
      </w:r>
      <w:r w:rsidRPr="00135963">
        <w:rPr>
          <w:sz w:val="20"/>
          <w:szCs w:val="20"/>
        </w:rPr>
        <w:t xml:space="preserve"> Bureau of Justice Assistance, Adult Drug Court &amp; Veterans Treatment Court Discretionary Grant Program: FY 2021 Competitive Grant Solicitation (2021), https://bja.ojp.gov/program/adult-drug-court-and-veterans-treatment-court-discretionary-grant-program/o </w:t>
      </w:r>
      <w:proofErr w:type="spellStart"/>
      <w:r w:rsidRPr="00135963">
        <w:rPr>
          <w:sz w:val="20"/>
          <w:szCs w:val="20"/>
        </w:rPr>
        <w:t>verview</w:t>
      </w:r>
      <w:proofErr w:type="spellEnd"/>
      <w:r w:rsidRPr="00135963">
        <w:rPr>
          <w:sz w:val="20"/>
          <w:szCs w:val="20"/>
        </w:rPr>
        <w:t xml:space="preserve"> </w:t>
      </w:r>
    </w:p>
  </w:footnote>
  <w:footnote w:id="9">
    <w:p w14:paraId="20AC21EB" w14:textId="77777777" w:rsidR="00013FA0" w:rsidRPr="00135963" w:rsidRDefault="00000000">
      <w:pPr>
        <w:pStyle w:val="footnotedescription"/>
        <w:spacing w:after="14" w:line="279" w:lineRule="auto"/>
        <w:rPr>
          <w:sz w:val="20"/>
          <w:szCs w:val="20"/>
        </w:rPr>
      </w:pPr>
      <w:r w:rsidRPr="00135963">
        <w:rPr>
          <w:rStyle w:val="footnotemark"/>
          <w:szCs w:val="20"/>
        </w:rPr>
        <w:footnoteRef/>
      </w:r>
      <w:r w:rsidRPr="00135963">
        <w:rPr>
          <w:sz w:val="20"/>
          <w:szCs w:val="20"/>
        </w:rPr>
        <w:t xml:space="preserve"> </w:t>
      </w:r>
      <w:proofErr w:type="spellStart"/>
      <w:r w:rsidRPr="00135963">
        <w:rPr>
          <w:sz w:val="20"/>
          <w:szCs w:val="20"/>
        </w:rPr>
        <w:t>Nat’l</w:t>
      </w:r>
      <w:proofErr w:type="spellEnd"/>
      <w:r w:rsidRPr="00135963">
        <w:rPr>
          <w:sz w:val="20"/>
          <w:szCs w:val="20"/>
        </w:rPr>
        <w:t xml:space="preserve"> </w:t>
      </w:r>
      <w:proofErr w:type="spellStart"/>
      <w:r w:rsidRPr="00135963">
        <w:rPr>
          <w:sz w:val="20"/>
          <w:szCs w:val="20"/>
        </w:rPr>
        <w:t>Ass’n</w:t>
      </w:r>
      <w:proofErr w:type="spellEnd"/>
      <w:r w:rsidRPr="00135963">
        <w:rPr>
          <w:sz w:val="20"/>
          <w:szCs w:val="20"/>
        </w:rPr>
        <w:t xml:space="preserve"> of Drug Court Professionals, Drug Courts Work (2020), https://allrise.org/about/treatment-courts/#adult-drug-court </w:t>
      </w:r>
    </w:p>
  </w:footnote>
  <w:footnote w:id="10">
    <w:p w14:paraId="069DF44A" w14:textId="77777777" w:rsidR="00013FA0" w:rsidRPr="00135963" w:rsidRDefault="00000000">
      <w:pPr>
        <w:pStyle w:val="footnotedescription"/>
        <w:spacing w:after="17" w:line="276" w:lineRule="auto"/>
        <w:rPr>
          <w:sz w:val="20"/>
          <w:szCs w:val="20"/>
        </w:rPr>
      </w:pPr>
      <w:r w:rsidRPr="00135963">
        <w:rPr>
          <w:rStyle w:val="footnotemark"/>
          <w:szCs w:val="20"/>
        </w:rPr>
        <w:footnoteRef/>
      </w:r>
      <w:r w:rsidRPr="00135963">
        <w:rPr>
          <w:sz w:val="20"/>
          <w:szCs w:val="20"/>
        </w:rPr>
        <w:t xml:space="preserve"> David B. Wexler, From Theory to Practice and Back Again in Therapeutic Jurisprudence: Now Comes the Hard Part, 37 T. Jefferson L. Rev. 95 (2016), https://papers.ssrn.com/sol3/papers.cfm?abstract_id=1580129 </w:t>
      </w:r>
    </w:p>
  </w:footnote>
  <w:footnote w:id="11">
    <w:p w14:paraId="74B16C08" w14:textId="77777777" w:rsidR="00013FA0" w:rsidRPr="00135963" w:rsidRDefault="00000000">
      <w:pPr>
        <w:pStyle w:val="footnotedescription"/>
        <w:spacing w:line="276" w:lineRule="auto"/>
        <w:rPr>
          <w:sz w:val="20"/>
          <w:szCs w:val="20"/>
        </w:rPr>
      </w:pPr>
      <w:r w:rsidRPr="00135963">
        <w:rPr>
          <w:rStyle w:val="footnotemark"/>
          <w:szCs w:val="20"/>
        </w:rPr>
        <w:footnoteRef/>
      </w:r>
      <w:r w:rsidRPr="00135963">
        <w:rPr>
          <w:sz w:val="20"/>
          <w:szCs w:val="20"/>
        </w:rPr>
        <w:t xml:space="preserve"> </w:t>
      </w:r>
      <w:proofErr w:type="spellStart"/>
      <w:r w:rsidRPr="00135963">
        <w:rPr>
          <w:sz w:val="20"/>
          <w:szCs w:val="20"/>
        </w:rPr>
        <w:t>Ojmarrh</w:t>
      </w:r>
      <w:proofErr w:type="spellEnd"/>
      <w:r w:rsidRPr="00135963">
        <w:rPr>
          <w:sz w:val="20"/>
          <w:szCs w:val="20"/>
        </w:rPr>
        <w:t xml:space="preserve"> Mitchell et al., Assessing the Effectiveness of Drug Courts on Recidivism: A Meta-Analytic Review of Traditional and Non-Traditional Drug Courts, 40 J. Crim. Justice 60, 60–66 (2012), https://www.sciencedirect.com/science/article/abs/pii/S0047235211001255 </w:t>
      </w:r>
    </w:p>
  </w:footnote>
  <w:footnote w:id="12">
    <w:p w14:paraId="558A751A" w14:textId="77777777" w:rsidR="00013FA0" w:rsidRPr="00135963" w:rsidRDefault="00000000">
      <w:pPr>
        <w:pStyle w:val="footnotedescription"/>
        <w:spacing w:line="277" w:lineRule="auto"/>
        <w:rPr>
          <w:sz w:val="20"/>
          <w:szCs w:val="20"/>
        </w:rPr>
      </w:pPr>
      <w:r w:rsidRPr="00135963">
        <w:rPr>
          <w:rStyle w:val="footnotemark"/>
          <w:szCs w:val="20"/>
        </w:rPr>
        <w:footnoteRef/>
      </w:r>
      <w:r w:rsidRPr="00135963">
        <w:rPr>
          <w:sz w:val="20"/>
          <w:szCs w:val="20"/>
        </w:rPr>
        <w:t xml:space="preserve"> </w:t>
      </w:r>
      <w:proofErr w:type="spellStart"/>
      <w:r w:rsidRPr="00135963">
        <w:rPr>
          <w:sz w:val="20"/>
          <w:szCs w:val="20"/>
        </w:rPr>
        <w:t>Nat’l</w:t>
      </w:r>
      <w:proofErr w:type="spellEnd"/>
      <w:r w:rsidRPr="00135963">
        <w:rPr>
          <w:sz w:val="20"/>
          <w:szCs w:val="20"/>
        </w:rPr>
        <w:t xml:space="preserve"> Inst. of Justice, Do Drug Courts Work? Findings From Drug Court Research (May 11, 2008), https://nij.ojp.gov/topics/articles/do-drug-courts-work-findings-drug-court-resewalk-outarch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8376800"/>
      <w:docPartObj>
        <w:docPartGallery w:val="Page Numbers (Top of Page)"/>
        <w:docPartUnique/>
      </w:docPartObj>
    </w:sdtPr>
    <w:sdtContent>
      <w:p w14:paraId="74510F7B" w14:textId="7DB986CB" w:rsidR="00143627" w:rsidRDefault="00143627" w:rsidP="001C5E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7C658" w14:textId="77777777" w:rsidR="00143627" w:rsidRDefault="00143627" w:rsidP="001436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235225"/>
      <w:docPartObj>
        <w:docPartGallery w:val="Page Numbers (Top of Page)"/>
        <w:docPartUnique/>
      </w:docPartObj>
    </w:sdtPr>
    <w:sdtContent>
      <w:p w14:paraId="78D71CB4" w14:textId="36B1DF73" w:rsidR="00143627" w:rsidRDefault="00143627" w:rsidP="001C5E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57D019" w14:textId="77777777" w:rsidR="00143627" w:rsidRDefault="00143627" w:rsidP="0014362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A0"/>
    <w:rsid w:val="00013FA0"/>
    <w:rsid w:val="00062356"/>
    <w:rsid w:val="00135963"/>
    <w:rsid w:val="00143627"/>
    <w:rsid w:val="001F039A"/>
    <w:rsid w:val="00481DAF"/>
    <w:rsid w:val="004D4B05"/>
    <w:rsid w:val="007D5420"/>
    <w:rsid w:val="00897C32"/>
    <w:rsid w:val="00B55A80"/>
    <w:rsid w:val="00D71FAF"/>
    <w:rsid w:val="00E8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2C143"/>
  <w15:docId w15:val="{045258BD-7D94-7B44-864F-8ECC0D39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9" w:lineRule="auto"/>
      <w:ind w:firstLine="710"/>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32"/>
      <w:u w:val="single" w:color="000000"/>
    </w:rPr>
  </w:style>
  <w:style w:type="paragraph" w:styleId="Heading2">
    <w:name w:val="heading 2"/>
    <w:next w:val="Normal"/>
    <w:link w:val="Heading2Char"/>
    <w:uiPriority w:val="9"/>
    <w:unhideWhenUsed/>
    <w:qFormat/>
    <w:pPr>
      <w:keepNext/>
      <w:keepLines/>
      <w:spacing w:after="17" w:line="259" w:lineRule="auto"/>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color w:val="000000"/>
      <w:sz w:val="32"/>
      <w:u w:val="single" w:color="000000"/>
    </w:rPr>
  </w:style>
  <w:style w:type="paragraph" w:customStyle="1" w:styleId="footnotedescription">
    <w:name w:val="footnote description"/>
    <w:next w:val="Normal"/>
    <w:link w:val="footnotedescriptionChar"/>
    <w:hidden/>
    <w:pPr>
      <w:spacing w:after="0" w:line="275" w:lineRule="auto"/>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143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627"/>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143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Justice on Life Support- Megan McDonough</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on Life Support- Megan McDonough</dc:title>
  <dc:subject/>
  <dc:creator>gutierrezlara8@gmail.com</dc:creator>
  <cp:keywords/>
  <cp:lastModifiedBy>gutierrezlara8@gmail.com</cp:lastModifiedBy>
  <cp:revision>2</cp:revision>
  <dcterms:created xsi:type="dcterms:W3CDTF">2025-12-22T01:12:00Z</dcterms:created>
  <dcterms:modified xsi:type="dcterms:W3CDTF">2025-12-22T01:12:00Z</dcterms:modified>
</cp:coreProperties>
</file>