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14895" w14:textId="6C87B292" w:rsidR="007A5C4C" w:rsidRPr="0028626D" w:rsidRDefault="002E25B6" w:rsidP="00130D62">
      <w:pPr>
        <w:jc w:val="center"/>
        <w:rPr>
          <w:rFonts w:ascii="Garamond" w:hAnsi="Garamond"/>
        </w:rPr>
      </w:pPr>
      <w:r w:rsidRPr="0028626D">
        <w:rPr>
          <w:rFonts w:ascii="Garamond" w:hAnsi="Garamond"/>
          <w:noProof/>
          <w:lang w:val="en-CA" w:eastAsia="zh-CN"/>
        </w:rPr>
        <w:drawing>
          <wp:inline distT="0" distB="0" distL="0" distR="0" wp14:anchorId="0C26208F" wp14:editId="406CE057">
            <wp:extent cx="5943600" cy="2025650"/>
            <wp:effectExtent l="0" t="0" r="0" b="6350"/>
            <wp:docPr id="1161742991" name="Picture 1" descr="An image of the logo of the journal, with a background of a multiple-choice answer sheet, a bar chart, and a large 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742991" name="Picture 1" descr="An image of the logo of the journal, with a background of a multiple-choice answer sheet, a bar chart, and a large checkmark."/>
                    <pic:cNvPicPr/>
                  </pic:nvPicPr>
                  <pic:blipFill>
                    <a:blip r:embed="rId8"/>
                    <a:stretch>
                      <a:fillRect/>
                    </a:stretch>
                  </pic:blipFill>
                  <pic:spPr>
                    <a:xfrm>
                      <a:off x="0" y="0"/>
                      <a:ext cx="5943600" cy="2025650"/>
                    </a:xfrm>
                    <a:prstGeom prst="rect">
                      <a:avLst/>
                    </a:prstGeom>
                  </pic:spPr>
                </pic:pic>
              </a:graphicData>
            </a:graphic>
          </wp:inline>
        </w:drawing>
      </w:r>
    </w:p>
    <w:p w14:paraId="6A5B1376" w14:textId="409115B9" w:rsidR="002E25B6" w:rsidRPr="00EF3D5B" w:rsidRDefault="002E25B6" w:rsidP="00111C0C">
      <w:pPr>
        <w:pStyle w:val="Footer"/>
        <w:jc w:val="center"/>
      </w:pPr>
      <w:r w:rsidRPr="00EF3D5B">
        <w:rPr>
          <w:rFonts w:ascii="Garamond" w:hAnsi="Garamond"/>
        </w:rPr>
        <w:t>A peer reviewe</w:t>
      </w:r>
      <w:r w:rsidR="00C632B9" w:rsidRPr="00EF3D5B">
        <w:rPr>
          <w:rFonts w:ascii="Garamond" w:hAnsi="Garamond"/>
        </w:rPr>
        <w:t>d, open-access</w:t>
      </w:r>
      <w:r w:rsidRPr="00EF3D5B">
        <w:rPr>
          <w:rFonts w:ascii="Garamond" w:hAnsi="Garamond"/>
        </w:rPr>
        <w:t xml:space="preserve"> electronic journal</w:t>
      </w:r>
      <w:r w:rsidR="00111C0C" w:rsidRPr="00EF3D5B">
        <w:rPr>
          <w:rFonts w:ascii="Garamond" w:hAnsi="Garamond"/>
        </w:rPr>
        <w:t xml:space="preserve">: </w:t>
      </w:r>
      <w:r w:rsidR="00111C0C" w:rsidRPr="00EF3D5B">
        <w:rPr>
          <w:rFonts w:ascii="Garamond" w:hAnsi="Garamond" w:cs="Century Schoolbook"/>
        </w:rPr>
        <w:t>ISSN 1531-7714</w:t>
      </w:r>
    </w:p>
    <w:p w14:paraId="2DFE2ED1" w14:textId="77777777" w:rsidR="002E25B6" w:rsidRPr="0028626D" w:rsidRDefault="002E25B6" w:rsidP="002E25B6">
      <w:pPr>
        <w:jc w:val="center"/>
        <w:rPr>
          <w:rFonts w:ascii="Garamond" w:hAnsi="Garamond"/>
        </w:rPr>
      </w:pPr>
    </w:p>
    <w:p w14:paraId="7D21D36C" w14:textId="5085A1E6" w:rsidR="001C5FB7" w:rsidRPr="00D5729D" w:rsidRDefault="00D5729D" w:rsidP="00FD7A05">
      <w:pPr>
        <w:pStyle w:val="Heading1"/>
        <w:spacing w:before="120" w:after="120"/>
        <w:rPr>
          <w:rFonts w:eastAsia="Calibri"/>
        </w:rPr>
      </w:pPr>
      <w:r w:rsidRPr="00D5729D">
        <w:rPr>
          <w:rFonts w:eastAsia="Calibri" w:hint="eastAsia"/>
        </w:rPr>
        <w:t xml:space="preserve">Evaluation on </w:t>
      </w:r>
      <w:r w:rsidRPr="00D5729D">
        <w:rPr>
          <w:rFonts w:eastAsia="Calibri"/>
        </w:rPr>
        <w:t>Validation Practices in Validating the Strong Interest Inventory</w:t>
      </w:r>
      <w:r w:rsidRPr="00D5729D">
        <w:rPr>
          <w:rFonts w:eastAsia="Calibri" w:hint="eastAsia"/>
        </w:rPr>
        <w:t xml:space="preserve">: </w:t>
      </w:r>
      <w:r w:rsidRPr="00D5729D">
        <w:rPr>
          <w:rFonts w:eastAsia="Calibri"/>
        </w:rPr>
        <w:t xml:space="preserve">Gaps, Challenges, and Future Directions </w:t>
      </w:r>
      <w:r w:rsidRPr="00D5729D">
        <w:rPr>
          <w:rFonts w:eastAsia="Calibri" w:hint="eastAsia"/>
        </w:rPr>
        <w:t>for Validation Studies</w:t>
      </w:r>
    </w:p>
    <w:p w14:paraId="2B47AF25" w14:textId="110A27AD" w:rsidR="002E25B6" w:rsidRPr="0028626D" w:rsidRDefault="00C70DAD" w:rsidP="00C70DAD">
      <w:pPr>
        <w:tabs>
          <w:tab w:val="left" w:pos="0"/>
          <w:tab w:val="left" w:pos="720"/>
          <w:tab w:val="left" w:pos="1440"/>
          <w:tab w:val="left" w:pos="2160"/>
          <w:tab w:val="left" w:pos="2731"/>
          <w:tab w:val="left" w:pos="2880"/>
          <w:tab w:val="left" w:pos="3600"/>
          <w:tab w:val="left" w:pos="4320"/>
          <w:tab w:val="left" w:pos="5040"/>
          <w:tab w:val="left" w:pos="5760"/>
          <w:tab w:val="left" w:pos="6480"/>
          <w:tab w:val="left" w:pos="7200"/>
          <w:tab w:val="left" w:pos="7920"/>
          <w:tab w:val="left" w:pos="8640"/>
        </w:tabs>
        <w:kinsoku w:val="0"/>
        <w:overflowPunct w:val="0"/>
        <w:autoSpaceDE w:val="0"/>
        <w:autoSpaceDN w:val="0"/>
        <w:adjustRightInd w:val="0"/>
        <w:rPr>
          <w:rFonts w:ascii="Garamond" w:hAnsi="Garamond"/>
          <w:bCs/>
          <w:iCs/>
          <w:color w:val="000000" w:themeColor="text1"/>
        </w:rPr>
      </w:pPr>
      <w:r w:rsidRPr="0028626D">
        <w:rPr>
          <w:rFonts w:ascii="Garamond" w:hAnsi="Garamond"/>
          <w:bCs/>
          <w:iCs/>
          <w:color w:val="000000" w:themeColor="text1"/>
        </w:rPr>
        <w:tab/>
      </w:r>
      <w:r w:rsidRPr="0028626D">
        <w:rPr>
          <w:rFonts w:ascii="Garamond" w:hAnsi="Garamond"/>
          <w:bCs/>
          <w:iCs/>
          <w:color w:val="000000" w:themeColor="text1"/>
        </w:rPr>
        <w:tab/>
      </w:r>
      <w:r w:rsidRPr="0028626D">
        <w:rPr>
          <w:rFonts w:ascii="Garamond" w:hAnsi="Garamond"/>
          <w:bCs/>
          <w:iCs/>
          <w:color w:val="000000" w:themeColor="text1"/>
        </w:rPr>
        <w:tab/>
      </w:r>
      <w:r w:rsidRPr="0028626D">
        <w:rPr>
          <w:rFonts w:ascii="Garamond" w:hAnsi="Garamond"/>
          <w:bCs/>
          <w:iCs/>
          <w:color w:val="000000" w:themeColor="text1"/>
        </w:rPr>
        <w:tab/>
      </w:r>
      <w:r w:rsidRPr="0028626D">
        <w:rPr>
          <w:rFonts w:ascii="Garamond" w:hAnsi="Garamond"/>
          <w:bCs/>
          <w:iCs/>
          <w:color w:val="000000" w:themeColor="text1"/>
        </w:rPr>
        <w:tab/>
      </w:r>
      <w:r w:rsidRPr="0028626D">
        <w:rPr>
          <w:rFonts w:ascii="Garamond" w:hAnsi="Garamond"/>
          <w:bCs/>
          <w:iCs/>
          <w:color w:val="000000" w:themeColor="text1"/>
        </w:rPr>
        <w:tab/>
      </w:r>
      <w:r w:rsidRPr="0028626D">
        <w:rPr>
          <w:rFonts w:ascii="Garamond" w:hAnsi="Garamond"/>
          <w:bCs/>
          <w:iCs/>
          <w:color w:val="000000" w:themeColor="text1"/>
        </w:rPr>
        <w:tab/>
      </w:r>
    </w:p>
    <w:p w14:paraId="20FF29D1" w14:textId="15DDEBCC" w:rsidR="00EC2078" w:rsidRPr="004D655C" w:rsidRDefault="00C745FD" w:rsidP="00EC2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val="0"/>
        <w:overflowPunct w:val="0"/>
        <w:autoSpaceDE w:val="0"/>
        <w:autoSpaceDN w:val="0"/>
        <w:adjustRightInd w:val="0"/>
        <w:rPr>
          <w:rFonts w:ascii="Garamond" w:hAnsi="Garamond"/>
          <w:bCs/>
          <w:iCs/>
          <w:color w:val="000000" w:themeColor="text1"/>
          <w:sz w:val="28"/>
          <w:szCs w:val="28"/>
        </w:rPr>
      </w:pPr>
      <w:r w:rsidRPr="004D655C">
        <w:rPr>
          <w:rFonts w:ascii="Garamond" w:hAnsi="Garamond"/>
          <w:noProof/>
          <w:lang w:val="en-CA" w:eastAsia="zh-CN"/>
        </w:rPr>
        <w:drawing>
          <wp:anchor distT="0" distB="0" distL="114300" distR="114300" simplePos="0" relativeHeight="251680768" behindDoc="0" locked="0" layoutInCell="1" allowOverlap="1" wp14:anchorId="1B9C5C24" wp14:editId="7DABB105">
            <wp:simplePos x="0" y="0"/>
            <wp:positionH relativeFrom="column">
              <wp:posOffset>2610979</wp:posOffset>
            </wp:positionH>
            <wp:positionV relativeFrom="paragraph">
              <wp:posOffset>28575</wp:posOffset>
            </wp:positionV>
            <wp:extent cx="156845" cy="156845"/>
            <wp:effectExtent l="0" t="0" r="0" b="0"/>
            <wp:wrapNone/>
            <wp:docPr id="1581777072" name="Picture 12" descr="A green circle with the letters ID in it, that links to the Orcid ID of the author. ">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777072" name="Picture 12" descr="A green circle with the letters ID in it, that links to the Orcid ID of the author. ">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729D">
        <w:rPr>
          <w:rFonts w:ascii="Garamond" w:hAnsi="Garamond"/>
          <w:bCs/>
          <w:iCs/>
          <w:color w:val="000000" w:themeColor="text1"/>
          <w:sz w:val="28"/>
          <w:szCs w:val="28"/>
        </w:rPr>
        <w:t>Sirui Wu,</w:t>
      </w:r>
      <w:r w:rsidR="00EC2078" w:rsidRPr="004D655C">
        <w:rPr>
          <w:rFonts w:ascii="Garamond" w:hAnsi="Garamond"/>
          <w:bCs/>
          <w:iCs/>
          <w:color w:val="000000" w:themeColor="text1"/>
          <w:sz w:val="28"/>
          <w:szCs w:val="28"/>
        </w:rPr>
        <w:t xml:space="preserve"> </w:t>
      </w:r>
      <w:r w:rsidR="004D655C" w:rsidRPr="004D655C">
        <w:rPr>
          <w:rFonts w:ascii="Garamond" w:hAnsi="Garamond"/>
          <w:bCs/>
          <w:i/>
          <w:color w:val="000000" w:themeColor="text1"/>
          <w:sz w:val="28"/>
          <w:szCs w:val="28"/>
        </w:rPr>
        <w:t>University</w:t>
      </w:r>
      <w:r w:rsidR="00D5729D">
        <w:rPr>
          <w:rFonts w:ascii="Garamond" w:hAnsi="Garamond"/>
          <w:bCs/>
          <w:i/>
          <w:color w:val="000000" w:themeColor="text1"/>
          <w:sz w:val="28"/>
          <w:szCs w:val="28"/>
        </w:rPr>
        <w:t xml:space="preserve"> of British Columbia</w:t>
      </w:r>
      <w:r w:rsidR="00C7127F">
        <w:rPr>
          <w:rFonts w:ascii="Garamond" w:hAnsi="Garamond"/>
          <w:bCs/>
          <w:i/>
          <w:color w:val="000000" w:themeColor="text1"/>
          <w:sz w:val="28"/>
          <w:szCs w:val="28"/>
        </w:rPr>
        <w:t xml:space="preserve"> </w:t>
      </w:r>
    </w:p>
    <w:p w14:paraId="1898B55F" w14:textId="77777777" w:rsidR="002E25B6" w:rsidRPr="00C745FD" w:rsidRDefault="002E25B6" w:rsidP="00030D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val="0"/>
        <w:overflowPunct w:val="0"/>
        <w:autoSpaceDE w:val="0"/>
        <w:autoSpaceDN w:val="0"/>
        <w:adjustRightInd w:val="0"/>
        <w:rPr>
          <w:rFonts w:ascii="Garamond" w:hAnsi="Garamond"/>
          <w:bCs/>
          <w:iCs/>
          <w:color w:val="000000" w:themeColor="text1"/>
        </w:rPr>
      </w:pPr>
    </w:p>
    <w:p w14:paraId="308F31D6" w14:textId="77777777" w:rsidR="00030D7A" w:rsidRDefault="00030D7A" w:rsidP="002E25B6">
      <w:pPr>
        <w:pBdr>
          <w:top w:val="single" w:sz="4"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val="0"/>
        <w:overflowPunct w:val="0"/>
        <w:autoSpaceDE w:val="0"/>
        <w:autoSpaceDN w:val="0"/>
        <w:adjustRightInd w:val="0"/>
        <w:rPr>
          <w:rFonts w:ascii="Garamond" w:hAnsi="Garamond"/>
          <w:b/>
          <w:iCs/>
          <w:color w:val="000000" w:themeColor="text1"/>
        </w:rPr>
      </w:pPr>
    </w:p>
    <w:p w14:paraId="7C555E79" w14:textId="2ADB81B7" w:rsidR="00A262EA" w:rsidRPr="00EC2078" w:rsidRDefault="002E25B6" w:rsidP="00CB7647">
      <w:pPr>
        <w:pBdr>
          <w:top w:val="single" w:sz="4"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val="0"/>
        <w:overflowPunct w:val="0"/>
        <w:autoSpaceDE w:val="0"/>
        <w:autoSpaceDN w:val="0"/>
        <w:adjustRightInd w:val="0"/>
        <w:jc w:val="both"/>
        <w:rPr>
          <w:rFonts w:ascii="Garamond" w:hAnsi="Garamond"/>
          <w:bCs/>
          <w:iCs/>
          <w:color w:val="000000" w:themeColor="text1"/>
        </w:rPr>
      </w:pPr>
      <w:r w:rsidRPr="0028626D">
        <w:rPr>
          <w:rFonts w:ascii="Garamond" w:hAnsi="Garamond"/>
          <w:b/>
          <w:iCs/>
          <w:color w:val="000000" w:themeColor="text1"/>
        </w:rPr>
        <w:t>Abstract</w:t>
      </w:r>
      <w:r w:rsidR="00284F89">
        <w:rPr>
          <w:rFonts w:ascii="Garamond" w:hAnsi="Garamond"/>
          <w:b/>
          <w:iCs/>
          <w:color w:val="000000" w:themeColor="text1"/>
        </w:rPr>
        <w:t xml:space="preserve">: </w:t>
      </w:r>
      <w:r w:rsidR="00D5729D" w:rsidRPr="00D5729D">
        <w:rPr>
          <w:rFonts w:ascii="Garamond" w:hAnsi="Garamond"/>
          <w:bCs/>
          <w:iCs/>
          <w:color w:val="000000" w:themeColor="text1"/>
        </w:rPr>
        <w:t xml:space="preserve">This paper aims to investigate the validation practices of the Strong Interest Inventory® (SII) in recent literature, focusing on three main objectives: (1) analyzing sample characteristics, (2) examining the validity theories adopted, and (3) compiling reported validity evidence. The review reveals that most validation studies rely on volunteer college students or employed adults, without offering clear justification for using these populations. A critical gap identified is the lack of explicit validation frameworks, which hampers the rigor of these studies. Additionally, the majority of validity evidence presented comes from test-criterion relationships, leaving other important sources of validity, such as test consequences and response processes, underexplored. To ensure the SII remains a reliable and effective tool for career counseling, future research should adopt more comprehensive and transparent validation frameworks, incorporate diverse validity evidence, and consider the contexts in which the SII is used. By addressing these gaps, researchers can contribute to more robust validation practices for this </w:t>
      </w:r>
      <w:r w:rsidR="00EC4BFA" w:rsidRPr="00D5729D">
        <w:rPr>
          <w:rFonts w:ascii="Garamond" w:hAnsi="Garamond"/>
          <w:bCs/>
          <w:iCs/>
          <w:color w:val="000000" w:themeColor="text1"/>
        </w:rPr>
        <w:t>widely used</w:t>
      </w:r>
      <w:r w:rsidR="00D5729D" w:rsidRPr="00D5729D">
        <w:rPr>
          <w:rFonts w:ascii="Garamond" w:hAnsi="Garamond"/>
          <w:bCs/>
          <w:iCs/>
          <w:color w:val="000000" w:themeColor="text1"/>
        </w:rPr>
        <w:t xml:space="preserve"> interest inventory.</w:t>
      </w:r>
    </w:p>
    <w:p w14:paraId="2A8CF4D7" w14:textId="77777777" w:rsidR="00A262EA" w:rsidRPr="0028626D" w:rsidRDefault="00A262EA" w:rsidP="002E25B6">
      <w:pPr>
        <w:pBdr>
          <w:top w:val="single" w:sz="4"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val="0"/>
        <w:overflowPunct w:val="0"/>
        <w:autoSpaceDE w:val="0"/>
        <w:autoSpaceDN w:val="0"/>
        <w:adjustRightInd w:val="0"/>
        <w:rPr>
          <w:rFonts w:ascii="Garamond" w:hAnsi="Garamond"/>
          <w:bCs/>
          <w:iCs/>
          <w:color w:val="000000" w:themeColor="text1"/>
        </w:rPr>
      </w:pPr>
    </w:p>
    <w:p w14:paraId="2DAF9011" w14:textId="62B7605F" w:rsidR="00A262EA" w:rsidRPr="0028626D" w:rsidRDefault="00A262EA" w:rsidP="002E25B6">
      <w:pPr>
        <w:pBdr>
          <w:top w:val="single" w:sz="4"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val="0"/>
        <w:overflowPunct w:val="0"/>
        <w:autoSpaceDE w:val="0"/>
        <w:autoSpaceDN w:val="0"/>
        <w:adjustRightInd w:val="0"/>
        <w:rPr>
          <w:rFonts w:ascii="Garamond" w:hAnsi="Garamond"/>
          <w:b/>
          <w:iCs/>
          <w:color w:val="000000" w:themeColor="text1"/>
        </w:rPr>
      </w:pPr>
      <w:r w:rsidRPr="0028626D">
        <w:rPr>
          <w:rFonts w:ascii="Garamond" w:hAnsi="Garamond"/>
          <w:b/>
          <w:iCs/>
          <w:color w:val="000000" w:themeColor="text1"/>
        </w:rPr>
        <w:t>Keywords:</w:t>
      </w:r>
      <w:r w:rsidR="00030D7A">
        <w:rPr>
          <w:rFonts w:ascii="Garamond" w:hAnsi="Garamond"/>
          <w:b/>
          <w:iCs/>
          <w:color w:val="000000" w:themeColor="text1"/>
        </w:rPr>
        <w:t xml:space="preserve"> </w:t>
      </w:r>
      <w:r w:rsidR="00D5729D">
        <w:rPr>
          <w:rFonts w:ascii="Garamond" w:hAnsi="Garamond"/>
          <w:bCs/>
          <w:iCs/>
          <w:color w:val="000000" w:themeColor="text1"/>
        </w:rPr>
        <w:t xml:space="preserve">Strong Interest Inventory, validity </w:t>
      </w:r>
      <w:r w:rsidR="00EC4BFA">
        <w:rPr>
          <w:rFonts w:ascii="Garamond" w:hAnsi="Garamond"/>
          <w:bCs/>
          <w:iCs/>
          <w:color w:val="000000" w:themeColor="text1"/>
        </w:rPr>
        <w:t>evidence</w:t>
      </w:r>
      <w:r w:rsidR="00D5729D">
        <w:rPr>
          <w:rFonts w:ascii="Garamond" w:hAnsi="Garamond"/>
          <w:bCs/>
          <w:iCs/>
          <w:color w:val="000000" w:themeColor="text1"/>
        </w:rPr>
        <w:t>, validation practices</w:t>
      </w:r>
    </w:p>
    <w:p w14:paraId="438E4275" w14:textId="77777777" w:rsidR="00A262EA" w:rsidRPr="0028626D" w:rsidRDefault="00A262EA" w:rsidP="00A262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val="0"/>
        <w:overflowPunct w:val="0"/>
        <w:autoSpaceDE w:val="0"/>
        <w:autoSpaceDN w:val="0"/>
        <w:adjustRightInd w:val="0"/>
        <w:rPr>
          <w:rFonts w:ascii="Garamond" w:hAnsi="Garamond"/>
          <w:bCs/>
          <w:iCs/>
          <w:color w:val="000000" w:themeColor="text1"/>
        </w:rPr>
      </w:pPr>
    </w:p>
    <w:p w14:paraId="4398590C" w14:textId="77777777" w:rsidR="00A262EA" w:rsidRDefault="00A262EA" w:rsidP="00A262EA">
      <w:pPr>
        <w:pBdr>
          <w:top w:val="single" w:sz="4"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val="0"/>
        <w:overflowPunct w:val="0"/>
        <w:autoSpaceDE w:val="0"/>
        <w:autoSpaceDN w:val="0"/>
        <w:adjustRightInd w:val="0"/>
        <w:rPr>
          <w:rFonts w:ascii="Garamond" w:hAnsi="Garamond"/>
          <w:bCs/>
          <w:iCs/>
          <w:color w:val="000000" w:themeColor="text1"/>
        </w:rPr>
      </w:pPr>
    </w:p>
    <w:p w14:paraId="67F994E3" w14:textId="3C7E6622" w:rsidR="00844964" w:rsidRPr="001C64BC" w:rsidRDefault="00030D7A" w:rsidP="00CE04E5">
      <w:pPr>
        <w:spacing w:after="120"/>
        <w:rPr>
          <w:rFonts w:ascii="Garamond" w:hAnsi="Garamond"/>
          <w:bCs/>
          <w:color w:val="891D1D"/>
          <w:sz w:val="20"/>
          <w:szCs w:val="20"/>
        </w:rPr>
      </w:pPr>
      <w:r w:rsidRPr="001C64BC">
        <w:rPr>
          <w:rFonts w:ascii="Garamond" w:eastAsia="Calibri" w:hAnsi="Garamond" w:cs="Arial"/>
          <w:b/>
          <w:bCs/>
          <w:color w:val="891D1D"/>
          <w:sz w:val="28"/>
          <w:szCs w:val="28"/>
        </w:rPr>
        <w:t>Introduction</w:t>
      </w:r>
    </w:p>
    <w:p w14:paraId="75AD4F76" w14:textId="77777777" w:rsidR="00D5729D" w:rsidRDefault="00D5729D" w:rsidP="00D5729D">
      <w:pPr>
        <w:spacing w:after="120"/>
        <w:ind w:firstLine="360"/>
        <w:jc w:val="both"/>
        <w:rPr>
          <w:rFonts w:ascii="Garamond" w:hAnsi="Garamond"/>
          <w:bCs/>
        </w:rPr>
      </w:pPr>
      <w:r w:rsidRPr="00D5729D">
        <w:rPr>
          <w:rFonts w:ascii="Garamond" w:hAnsi="Garamond"/>
          <w:bCs/>
        </w:rPr>
        <w:t>The evolution of validation frameworks in psychometrics has transitioned from simple, criterion-based methods to more sophisticated, multifaceted models. Early frameworks focused narrowly on whether a test measured what it was intended to, relying on correlations and predictions as primary evidence. The introduction of construct validity by Cronbach and Meehl in the 1950s expanded this scope, requiring assessments to validate theoretical constructs. Messick’s (1989) unified theory</w:t>
      </w:r>
      <w:r w:rsidRPr="00D5729D">
        <w:rPr>
          <w:rFonts w:ascii="Garamond" w:hAnsi="Garamond" w:hint="eastAsia"/>
          <w:bCs/>
        </w:rPr>
        <w:t xml:space="preserve">, </w:t>
      </w:r>
      <w:r w:rsidRPr="00D5729D">
        <w:rPr>
          <w:rFonts w:ascii="Garamond" w:hAnsi="Garamond"/>
          <w:bCs/>
        </w:rPr>
        <w:t xml:space="preserve">further revolutionized the field by integrating various forms of evidence, stressing that validity lies not in the test itself but in the interpretation of its scores. However, despite these advancements, many recent validation studies continue </w:t>
      </w:r>
      <w:r w:rsidRPr="00D5729D">
        <w:rPr>
          <w:rFonts w:ascii="Garamond" w:hAnsi="Garamond"/>
          <w:bCs/>
        </w:rPr>
        <w:lastRenderedPageBreak/>
        <w:t>to rely on outdated frameworks, neglecting the progress made in validation theory. While some research has noted this gap, few studies provide concrete evidence, especially in relation to widely used assessments.</w:t>
      </w:r>
    </w:p>
    <w:p w14:paraId="64E7349D" w14:textId="6F152A47" w:rsidR="00D5729D" w:rsidRDefault="00D5729D" w:rsidP="00D5729D">
      <w:pPr>
        <w:spacing w:after="120"/>
        <w:ind w:firstLine="360"/>
        <w:jc w:val="both"/>
        <w:rPr>
          <w:rFonts w:ascii="Garamond" w:hAnsi="Garamond"/>
          <w:bCs/>
        </w:rPr>
      </w:pPr>
      <w:r w:rsidRPr="00D5729D">
        <w:rPr>
          <w:rFonts w:ascii="Garamond" w:hAnsi="Garamond"/>
          <w:bCs/>
        </w:rPr>
        <w:t>In this study, we select the Strong Interest Inventory (SII) as a prime example to highlight the trends and gaps in current validation practices. The SII, designed to assess individual interests across six occupational categories (realistic, investigative, artistic, social, enterprising, and conventional), has been a cornerstone of career counseling</w:t>
      </w:r>
      <w:r w:rsidRPr="00D5729D">
        <w:rPr>
          <w:rFonts w:ascii="Garamond" w:hAnsi="Garamond" w:hint="eastAsia"/>
          <w:bCs/>
        </w:rPr>
        <w:t xml:space="preserve"> (Strong, 1927)</w:t>
      </w:r>
      <w:r w:rsidRPr="00D5729D">
        <w:rPr>
          <w:rFonts w:ascii="Garamond" w:hAnsi="Garamond"/>
          <w:bCs/>
        </w:rPr>
        <w:t>. Over its nearly 100-year history, the SII has undergone significant revisions, including a major update in 2004 (Donnay et al., 2005; Schaubhut et al., 2004), and has been the subject of numerous validation studies. We chose the SII for its widespread use</w:t>
      </w:r>
      <w:r w:rsidRPr="00D5729D">
        <w:rPr>
          <w:rFonts w:ascii="Garamond" w:hAnsi="Garamond" w:hint="eastAsia"/>
          <w:bCs/>
        </w:rPr>
        <w:t xml:space="preserve"> even nowadays</w:t>
      </w:r>
      <w:r w:rsidRPr="00D5729D">
        <w:rPr>
          <w:rFonts w:ascii="Garamond" w:hAnsi="Garamond"/>
          <w:bCs/>
        </w:rPr>
        <w:t>, its alignment with the evolution of validation theories, and its rich history of validation practices. This makes it an ideal case for examining how contemporary validation frameworks are applied</w:t>
      </w:r>
      <w:r w:rsidRPr="00D5729D">
        <w:rPr>
          <w:rFonts w:ascii="Garamond" w:hAnsi="Garamond" w:hint="eastAsia"/>
          <w:bCs/>
        </w:rPr>
        <w:t xml:space="preserve"> </w:t>
      </w:r>
      <w:r w:rsidRPr="00D5729D">
        <w:rPr>
          <w:rFonts w:ascii="Garamond" w:hAnsi="Garamond"/>
          <w:bCs/>
        </w:rPr>
        <w:t>in practical settings.</w:t>
      </w:r>
    </w:p>
    <w:p w14:paraId="2FCBB268" w14:textId="49874176" w:rsidR="00D5729D" w:rsidRPr="00D5729D" w:rsidRDefault="00D5729D" w:rsidP="00D5729D">
      <w:pPr>
        <w:spacing w:after="120"/>
        <w:ind w:firstLine="360"/>
        <w:jc w:val="both"/>
        <w:rPr>
          <w:rFonts w:ascii="Garamond" w:hAnsi="Garamond"/>
          <w:bCs/>
        </w:rPr>
      </w:pPr>
      <w:r w:rsidRPr="00D5729D">
        <w:rPr>
          <w:rFonts w:ascii="Garamond" w:hAnsi="Garamond"/>
          <w:bCs/>
        </w:rPr>
        <w:t>In the following sections, we will first provide a brief review of the history of validation theories and frameworks. We will then introduce the content of the SII and review the validation studies conducted on this inventory, shedding light on both the strengths and the gaps in current validation practices.</w:t>
      </w:r>
    </w:p>
    <w:p w14:paraId="1E8B2F53" w14:textId="422823CE" w:rsidR="004D655C" w:rsidRDefault="00D5729D" w:rsidP="004D655C">
      <w:pPr>
        <w:spacing w:after="120"/>
        <w:jc w:val="both"/>
        <w:rPr>
          <w:rFonts w:ascii="Garamond" w:hAnsi="Garamond"/>
          <w:b/>
          <w:lang w:val="en-GB"/>
        </w:rPr>
      </w:pPr>
      <w:r>
        <w:rPr>
          <w:rFonts w:ascii="Garamond" w:hAnsi="Garamond"/>
          <w:b/>
          <w:lang w:val="en-GB"/>
        </w:rPr>
        <w:t>Different Perspectives of Validity</w:t>
      </w:r>
    </w:p>
    <w:p w14:paraId="26388BF4" w14:textId="1F3CE02F" w:rsidR="00D5729D" w:rsidRPr="00D5729D" w:rsidRDefault="00D5729D" w:rsidP="00D5729D">
      <w:pPr>
        <w:spacing w:after="120"/>
        <w:ind w:firstLine="360"/>
        <w:jc w:val="both"/>
        <w:rPr>
          <w:rFonts w:ascii="Garamond" w:hAnsi="Garamond"/>
          <w:bCs/>
        </w:rPr>
      </w:pPr>
      <w:r w:rsidRPr="00D5729D">
        <w:rPr>
          <w:rFonts w:ascii="Garamond" w:hAnsi="Garamond"/>
          <w:bCs/>
        </w:rPr>
        <w:t xml:space="preserve">The concept of validity in psychometrics has </w:t>
      </w:r>
      <w:r w:rsidRPr="00D5729D">
        <w:rPr>
          <w:rFonts w:ascii="Garamond" w:hAnsi="Garamond" w:hint="eastAsia"/>
          <w:bCs/>
        </w:rPr>
        <w:t xml:space="preserve">an evolving </w:t>
      </w:r>
      <w:r w:rsidRPr="00D5729D">
        <w:rPr>
          <w:rFonts w:ascii="Garamond" w:hAnsi="Garamond"/>
          <w:bCs/>
        </w:rPr>
        <w:t>history</w:t>
      </w:r>
      <w:r w:rsidRPr="00D5729D">
        <w:rPr>
          <w:rFonts w:ascii="Garamond" w:hAnsi="Garamond" w:hint="eastAsia"/>
          <w:bCs/>
        </w:rPr>
        <w:t xml:space="preserve">, </w:t>
      </w:r>
      <w:r w:rsidRPr="00D5729D">
        <w:rPr>
          <w:rFonts w:ascii="Garamond" w:hAnsi="Garamond"/>
          <w:bCs/>
        </w:rPr>
        <w:t>dat</w:t>
      </w:r>
      <w:r w:rsidRPr="00D5729D">
        <w:rPr>
          <w:rFonts w:ascii="Garamond" w:hAnsi="Garamond" w:hint="eastAsia"/>
          <w:bCs/>
        </w:rPr>
        <w:t>ing</w:t>
      </w:r>
      <w:r w:rsidRPr="00D5729D">
        <w:rPr>
          <w:rFonts w:ascii="Garamond" w:hAnsi="Garamond"/>
          <w:bCs/>
        </w:rPr>
        <w:t xml:space="preserve"> back to the early 20th century</w:t>
      </w:r>
      <w:r w:rsidRPr="00D5729D">
        <w:rPr>
          <w:rFonts w:ascii="Garamond" w:hAnsi="Garamond" w:hint="eastAsia"/>
          <w:bCs/>
        </w:rPr>
        <w:t xml:space="preserve"> and becoming more diverse </w:t>
      </w:r>
      <w:r w:rsidRPr="00D5729D">
        <w:rPr>
          <w:rFonts w:ascii="Garamond" w:hAnsi="Garamond"/>
          <w:bCs/>
        </w:rPr>
        <w:t xml:space="preserve">and </w:t>
      </w:r>
      <w:r w:rsidRPr="00D5729D">
        <w:rPr>
          <w:rFonts w:ascii="Garamond" w:hAnsi="Garamond" w:hint="eastAsia"/>
          <w:bCs/>
        </w:rPr>
        <w:t>complex in the past several decades</w:t>
      </w:r>
      <w:r w:rsidRPr="00D5729D">
        <w:rPr>
          <w:rFonts w:ascii="Garamond" w:hAnsi="Garamond"/>
          <w:bCs/>
        </w:rPr>
        <w:t>. Initially</w:t>
      </w:r>
      <w:r w:rsidRPr="00D5729D">
        <w:rPr>
          <w:rFonts w:ascii="Garamond" w:hAnsi="Garamond" w:hint="eastAsia"/>
          <w:bCs/>
        </w:rPr>
        <w:t xml:space="preserve">, in the early </w:t>
      </w:r>
      <w:r w:rsidRPr="00D5729D">
        <w:rPr>
          <w:rFonts w:ascii="Garamond" w:hAnsi="Garamond"/>
          <w:bCs/>
        </w:rPr>
        <w:t>1900s</w:t>
      </w:r>
      <w:r w:rsidR="009173C5">
        <w:rPr>
          <w:rFonts w:ascii="Garamond" w:hAnsi="Garamond"/>
          <w:bCs/>
        </w:rPr>
        <w:t xml:space="preserve"> to the</w:t>
      </w:r>
      <w:r w:rsidRPr="00D5729D">
        <w:rPr>
          <w:rFonts w:ascii="Garamond" w:hAnsi="Garamond" w:hint="eastAsia"/>
          <w:bCs/>
        </w:rPr>
        <w:t>1930s</w:t>
      </w:r>
      <w:r w:rsidRPr="00D5729D">
        <w:rPr>
          <w:rFonts w:ascii="Garamond" w:hAnsi="Garamond"/>
          <w:bCs/>
        </w:rPr>
        <w:t>, validity was understood</w:t>
      </w:r>
      <w:r w:rsidRPr="00D5729D">
        <w:rPr>
          <w:rFonts w:ascii="Garamond" w:hAnsi="Garamond" w:hint="eastAsia"/>
          <w:bCs/>
        </w:rPr>
        <w:t xml:space="preserve"> in a criterion view, to check </w:t>
      </w:r>
      <w:r w:rsidRPr="00D5729D">
        <w:rPr>
          <w:rFonts w:ascii="Garamond" w:hAnsi="Garamond"/>
          <w:bCs/>
        </w:rPr>
        <w:t xml:space="preserve">whether a test </w:t>
      </w:r>
      <w:r w:rsidRPr="00D5729D">
        <w:rPr>
          <w:rFonts w:ascii="Garamond" w:hAnsi="Garamond" w:hint="eastAsia"/>
          <w:bCs/>
        </w:rPr>
        <w:t xml:space="preserve">indeed </w:t>
      </w:r>
      <w:r w:rsidRPr="00D5729D">
        <w:rPr>
          <w:rFonts w:ascii="Garamond" w:hAnsi="Garamond"/>
          <w:bCs/>
        </w:rPr>
        <w:t>measured what it was supposed to.</w:t>
      </w:r>
      <w:r w:rsidRPr="00D5729D">
        <w:rPr>
          <w:rFonts w:ascii="Garamond" w:hAnsi="Garamond" w:hint="eastAsia"/>
          <w:bCs/>
        </w:rPr>
        <w:t xml:space="preserve"> In this era, validation evidence w</w:t>
      </w:r>
      <w:r w:rsidRPr="00D5729D">
        <w:rPr>
          <w:rFonts w:ascii="Garamond" w:hAnsi="Garamond"/>
          <w:bCs/>
        </w:rPr>
        <w:t>as</w:t>
      </w:r>
      <w:r w:rsidRPr="00D5729D">
        <w:rPr>
          <w:rFonts w:ascii="Garamond" w:hAnsi="Garamond" w:hint="eastAsia"/>
          <w:bCs/>
        </w:rPr>
        <w:t xml:space="preserve"> mostly reported as correlations and predictions (Zumbo, 2024). </w:t>
      </w:r>
    </w:p>
    <w:p w14:paraId="625DD506" w14:textId="77777777" w:rsidR="00D5729D" w:rsidRPr="00D5729D" w:rsidRDefault="00D5729D" w:rsidP="00D5729D">
      <w:pPr>
        <w:spacing w:after="120"/>
        <w:ind w:firstLine="360"/>
        <w:jc w:val="both"/>
        <w:rPr>
          <w:rFonts w:ascii="Garamond" w:hAnsi="Garamond"/>
          <w:bCs/>
        </w:rPr>
      </w:pPr>
      <w:r w:rsidRPr="00D5729D">
        <w:rPr>
          <w:rFonts w:ascii="Garamond" w:hAnsi="Garamond"/>
          <w:bCs/>
        </w:rPr>
        <w:t xml:space="preserve">The 1950s and 1960s marked a significant shift with the introduction of construct validity by </w:t>
      </w:r>
      <w:bookmarkStart w:id="0" w:name="OLE_LINK1"/>
      <w:r w:rsidRPr="00D5729D">
        <w:rPr>
          <w:rFonts w:ascii="Garamond" w:hAnsi="Garamond"/>
          <w:bCs/>
        </w:rPr>
        <w:t>Cronbach and Meehl</w:t>
      </w:r>
      <w:r w:rsidRPr="00D5729D">
        <w:rPr>
          <w:rFonts w:ascii="Garamond" w:hAnsi="Garamond" w:hint="eastAsia"/>
          <w:bCs/>
        </w:rPr>
        <w:t xml:space="preserve"> (</w:t>
      </w:r>
      <w:r w:rsidRPr="00D5729D">
        <w:rPr>
          <w:rFonts w:ascii="Garamond" w:hAnsi="Garamond"/>
          <w:bCs/>
        </w:rPr>
        <w:t>1955</w:t>
      </w:r>
      <w:bookmarkEnd w:id="0"/>
      <w:r w:rsidRPr="00D5729D">
        <w:rPr>
          <w:rFonts w:ascii="Garamond" w:hAnsi="Garamond" w:hint="eastAsia"/>
          <w:bCs/>
        </w:rPr>
        <w:t>)</w:t>
      </w:r>
      <w:r w:rsidRPr="00D5729D">
        <w:rPr>
          <w:rFonts w:ascii="Garamond" w:hAnsi="Garamond"/>
          <w:bCs/>
        </w:rPr>
        <w:t xml:space="preserve">. Construct validity became a fundamental aspect of modern validity theory, emphasizing the necessity of evaluating whether a test truly measured the theoretical construct it claimed to assess. </w:t>
      </w:r>
      <w:r w:rsidRPr="00D5729D">
        <w:rPr>
          <w:rFonts w:ascii="Garamond" w:hAnsi="Garamond" w:hint="eastAsia"/>
          <w:bCs/>
        </w:rPr>
        <w:t>It</w:t>
      </w:r>
      <w:r w:rsidRPr="00D5729D">
        <w:rPr>
          <w:rFonts w:ascii="Garamond" w:hAnsi="Garamond"/>
          <w:bCs/>
        </w:rPr>
        <w:t xml:space="preserve"> highlighted a transition</w:t>
      </w:r>
      <w:r w:rsidRPr="00D5729D">
        <w:rPr>
          <w:rFonts w:ascii="Garamond" w:hAnsi="Garamond" w:hint="eastAsia"/>
          <w:bCs/>
        </w:rPr>
        <w:t xml:space="preserve"> for validity </w:t>
      </w:r>
      <w:r w:rsidRPr="00D5729D">
        <w:rPr>
          <w:rFonts w:ascii="Garamond" w:hAnsi="Garamond"/>
          <w:bCs/>
        </w:rPr>
        <w:t>evidence</w:t>
      </w:r>
      <w:r w:rsidRPr="00D5729D">
        <w:rPr>
          <w:rFonts w:ascii="Garamond" w:hAnsi="Garamond" w:hint="eastAsia"/>
          <w:bCs/>
        </w:rPr>
        <w:t>,</w:t>
      </w:r>
      <w:r w:rsidRPr="00D5729D">
        <w:rPr>
          <w:rFonts w:ascii="Garamond" w:hAnsi="Garamond"/>
          <w:bCs/>
        </w:rPr>
        <w:t xml:space="preserve"> </w:t>
      </w:r>
      <w:r w:rsidRPr="00D5729D">
        <w:rPr>
          <w:rFonts w:ascii="Garamond" w:hAnsi="Garamond" w:hint="eastAsia"/>
          <w:bCs/>
        </w:rPr>
        <w:t xml:space="preserve">advocating </w:t>
      </w:r>
      <w:r w:rsidRPr="00D5729D">
        <w:rPr>
          <w:rFonts w:ascii="Garamond" w:hAnsi="Garamond"/>
          <w:bCs/>
        </w:rPr>
        <w:t>for</w:t>
      </w:r>
      <w:r w:rsidRPr="00D5729D">
        <w:rPr>
          <w:rFonts w:ascii="Garamond" w:hAnsi="Garamond" w:hint="eastAsia"/>
          <w:bCs/>
        </w:rPr>
        <w:t xml:space="preserve"> establishing the nomological network (</w:t>
      </w:r>
      <w:r w:rsidRPr="00D5729D">
        <w:rPr>
          <w:rFonts w:ascii="Garamond" w:hAnsi="Garamond"/>
          <w:bCs/>
        </w:rPr>
        <w:t>Cronbach</w:t>
      </w:r>
      <w:r w:rsidRPr="00D5729D">
        <w:rPr>
          <w:rFonts w:ascii="Garamond" w:hAnsi="Garamond" w:hint="eastAsia"/>
          <w:bCs/>
        </w:rPr>
        <w:t xml:space="preserve"> &amp; </w:t>
      </w:r>
      <w:r w:rsidRPr="00D5729D">
        <w:rPr>
          <w:rFonts w:ascii="Garamond" w:hAnsi="Garamond"/>
          <w:bCs/>
        </w:rPr>
        <w:t>Meehl</w:t>
      </w:r>
      <w:r w:rsidRPr="00D5729D">
        <w:rPr>
          <w:rFonts w:ascii="Garamond" w:hAnsi="Garamond" w:hint="eastAsia"/>
          <w:bCs/>
        </w:rPr>
        <w:t xml:space="preserve">, </w:t>
      </w:r>
      <w:r w:rsidRPr="00D5729D">
        <w:rPr>
          <w:rFonts w:ascii="Garamond" w:hAnsi="Garamond"/>
          <w:bCs/>
        </w:rPr>
        <w:t>1955</w:t>
      </w:r>
      <w:r w:rsidRPr="00D5729D">
        <w:rPr>
          <w:rFonts w:ascii="Garamond" w:hAnsi="Garamond" w:hint="eastAsia"/>
          <w:bCs/>
        </w:rPr>
        <w:t xml:space="preserve">). </w:t>
      </w:r>
    </w:p>
    <w:p w14:paraId="44C228A9" w14:textId="1FEC97FF" w:rsidR="00D5729D" w:rsidRPr="00D5729D" w:rsidRDefault="00D5729D" w:rsidP="00D5729D">
      <w:pPr>
        <w:spacing w:after="120"/>
        <w:ind w:firstLine="360"/>
        <w:jc w:val="both"/>
        <w:rPr>
          <w:rFonts w:ascii="Garamond" w:hAnsi="Garamond"/>
          <w:bCs/>
        </w:rPr>
      </w:pPr>
      <w:r w:rsidRPr="00D5729D">
        <w:rPr>
          <w:rFonts w:ascii="Garamond" w:hAnsi="Garamond"/>
          <w:bCs/>
        </w:rPr>
        <w:t xml:space="preserve">The late 20th century saw the development of Messick’s unified theory of validity in 1989, which integrated various forms of validity into a single, comprehensive framework (Messick, 1989). He emphasized that validity was not an inherent property of the test itself but of the interpretation made from test scores. This holistic view underscored the multifaceted nature of validity, requiring a process of accumulating a wide range of evidence to support the score interpretations. The widely-used Standards for Educational and Psychological Testing (AERA et al., 1999, 2014; short for the </w:t>
      </w:r>
      <w:r w:rsidRPr="00D5729D">
        <w:rPr>
          <w:rFonts w:ascii="Garamond" w:hAnsi="Garamond"/>
          <w:bCs/>
          <w:i/>
        </w:rPr>
        <w:t>Standards</w:t>
      </w:r>
      <w:r w:rsidRPr="00D5729D">
        <w:rPr>
          <w:rFonts w:ascii="Garamond" w:hAnsi="Garamond"/>
          <w:bCs/>
        </w:rPr>
        <w:t xml:space="preserve"> in the following text) indicated that “validity refers to the degree to which evidence and theory support the interpretations of test scores for proposed uses of tests”, and “the process of validation involves accumulating relevant evidence to provide a sound scientific basis for the proposed score interpretations”. The </w:t>
      </w:r>
      <w:r w:rsidRPr="00D5729D">
        <w:rPr>
          <w:rFonts w:ascii="Garamond" w:hAnsi="Garamond"/>
          <w:bCs/>
          <w:i/>
          <w:iCs/>
        </w:rPr>
        <w:t>Standards</w:t>
      </w:r>
      <w:r w:rsidRPr="00D5729D">
        <w:rPr>
          <w:rFonts w:ascii="Garamond" w:hAnsi="Garamond"/>
          <w:bCs/>
        </w:rPr>
        <w:t xml:space="preserve"> followed Messick’s idea, but still allow</w:t>
      </w:r>
      <w:r w:rsidR="009173C5">
        <w:rPr>
          <w:rFonts w:ascii="Garamond" w:hAnsi="Garamond"/>
          <w:bCs/>
        </w:rPr>
        <w:t>ed</w:t>
      </w:r>
      <w:r w:rsidRPr="00D5729D">
        <w:rPr>
          <w:rFonts w:ascii="Garamond" w:hAnsi="Garamond"/>
          <w:bCs/>
        </w:rPr>
        <w:t xml:space="preserve"> an adapt</w:t>
      </w:r>
      <w:r w:rsidR="009173C5">
        <w:rPr>
          <w:rFonts w:ascii="Garamond" w:hAnsi="Garamond"/>
          <w:bCs/>
        </w:rPr>
        <w:t>at</w:t>
      </w:r>
      <w:r w:rsidRPr="00D5729D">
        <w:rPr>
          <w:rFonts w:ascii="Garamond" w:hAnsi="Garamond"/>
          <w:bCs/>
        </w:rPr>
        <w:t xml:space="preserve">ion to other views of validity. </w:t>
      </w:r>
    </w:p>
    <w:p w14:paraId="679EC14B" w14:textId="10FE7577" w:rsidR="00D5729D" w:rsidRPr="00D5729D" w:rsidRDefault="00D5729D" w:rsidP="00D5729D">
      <w:pPr>
        <w:spacing w:after="120"/>
        <w:ind w:firstLine="360"/>
        <w:jc w:val="both"/>
        <w:rPr>
          <w:rFonts w:ascii="Garamond" w:hAnsi="Garamond"/>
          <w:bCs/>
        </w:rPr>
      </w:pPr>
      <w:r w:rsidRPr="00D5729D">
        <w:rPr>
          <w:rFonts w:ascii="Garamond" w:hAnsi="Garamond"/>
          <w:bCs/>
        </w:rPr>
        <w:t xml:space="preserve">In later years, other views of validity also emerged, and significantly shaped the 2014 Standards (AERA et al., 2014). Kane (1992, 2001, 2013) developed an argument-based approach for validation. It defines validity as the strength of the argument supporting specific score interpretations and uses, rather than a fixed property of the test itself. Sireci (2014, 2023) expands Kane’s argument-based validation by offering a more practitioner-oriented framework that simplifies the validation process into three steps: clearly articulating testing purposes, considering potential misuses, and aligning these with the five sources of validity evidence from the </w:t>
      </w:r>
      <w:r w:rsidRPr="00D5729D">
        <w:rPr>
          <w:rFonts w:ascii="Garamond" w:hAnsi="Garamond"/>
          <w:bCs/>
          <w:i/>
          <w:iCs/>
        </w:rPr>
        <w:t>Standards</w:t>
      </w:r>
      <w:r w:rsidRPr="00D5729D">
        <w:rPr>
          <w:rFonts w:ascii="Garamond" w:hAnsi="Garamond"/>
          <w:bCs/>
        </w:rPr>
        <w:t xml:space="preserve"> (Sireci, 2014). Embretson (2007) examined the distinction between construct representation and nomothetic span. It demonstrates the need to consider varied evidence when making assertions about measurement. Borsboom et al. (2004) contended that a test is considered legitimate for measuring a certain characteristic only if that attribute exists and any changes in the property directly result in changes in the results of the measurement method. With these claims, they both emphasized using formal cognitive modeling to collect validity evidence. Zumbo (2006) formed the perspective that "validity" </w:t>
      </w:r>
      <w:r w:rsidRPr="00D5729D">
        <w:rPr>
          <w:rFonts w:ascii="Garamond" w:hAnsi="Garamond"/>
          <w:bCs/>
        </w:rPr>
        <w:lastRenderedPageBreak/>
        <w:t xml:space="preserve">accounts for the differences in items and test scores, while "validation" refers to the process of creating and evaluating this explanation. He proposed a metaphorical comparison to a legal or courtroom setting, in which all the evidence is gathered and evaluated, cases are constructed, and witnesses present themselves. A rational entity then assesses the evidence, considering many factors, to determine the validity of the conclusions drawn from a test or measure. </w:t>
      </w:r>
    </w:p>
    <w:p w14:paraId="6222C944" w14:textId="506A5BA6" w:rsidR="00FE6289" w:rsidRDefault="00D5729D" w:rsidP="00D5729D">
      <w:pPr>
        <w:spacing w:after="120"/>
        <w:ind w:firstLine="360"/>
        <w:jc w:val="both"/>
        <w:rPr>
          <w:rFonts w:ascii="Garamond" w:hAnsi="Garamond"/>
          <w:bCs/>
          <w:lang w:val="en-GB"/>
        </w:rPr>
      </w:pPr>
      <w:r w:rsidRPr="00D5729D">
        <w:rPr>
          <w:rFonts w:ascii="Garamond" w:hAnsi="Garamond" w:hint="eastAsia"/>
          <w:bCs/>
        </w:rPr>
        <w:t xml:space="preserve">From the short review of validity theories in history, we can find that validation approaches and validity evidence are varied when taking different validity theories as </w:t>
      </w:r>
      <w:r w:rsidRPr="00D5729D">
        <w:rPr>
          <w:rFonts w:ascii="Garamond" w:hAnsi="Garamond"/>
          <w:bCs/>
        </w:rPr>
        <w:t xml:space="preserve">a </w:t>
      </w:r>
      <w:r w:rsidRPr="00D5729D">
        <w:rPr>
          <w:rFonts w:ascii="Garamond" w:hAnsi="Garamond" w:hint="eastAsia"/>
          <w:bCs/>
        </w:rPr>
        <w:t xml:space="preserve">framework. There is no one golden standard for validation practices. </w:t>
      </w:r>
      <w:r w:rsidRPr="00D5729D">
        <w:rPr>
          <w:rFonts w:ascii="Garamond" w:hAnsi="Garamond"/>
          <w:bCs/>
        </w:rPr>
        <w:t>In</w:t>
      </w:r>
      <w:r w:rsidRPr="00D5729D">
        <w:rPr>
          <w:rFonts w:ascii="Garamond" w:hAnsi="Garamond" w:hint="eastAsia"/>
          <w:bCs/>
        </w:rPr>
        <w:t xml:space="preserve"> validation studies, it is necessary to build a framework from an </w:t>
      </w:r>
      <w:r w:rsidRPr="00D5729D">
        <w:rPr>
          <w:rFonts w:ascii="Garamond" w:hAnsi="Garamond"/>
          <w:bCs/>
        </w:rPr>
        <w:t>existing</w:t>
      </w:r>
      <w:r w:rsidRPr="00D5729D">
        <w:rPr>
          <w:rFonts w:ascii="Garamond" w:hAnsi="Garamond" w:hint="eastAsia"/>
          <w:bCs/>
        </w:rPr>
        <w:t xml:space="preserve"> validity theory, thus </w:t>
      </w:r>
      <w:r w:rsidRPr="00D5729D">
        <w:rPr>
          <w:rFonts w:ascii="Garamond" w:hAnsi="Garamond"/>
          <w:bCs/>
        </w:rPr>
        <w:t>having</w:t>
      </w:r>
      <w:r w:rsidRPr="00D5729D">
        <w:rPr>
          <w:rFonts w:ascii="Garamond" w:hAnsi="Garamond" w:hint="eastAsia"/>
          <w:bCs/>
        </w:rPr>
        <w:t xml:space="preserve"> a clear guideline for validation practices and what validity </w:t>
      </w:r>
      <w:r w:rsidRPr="00D5729D">
        <w:rPr>
          <w:rFonts w:ascii="Garamond" w:hAnsi="Garamond"/>
          <w:bCs/>
        </w:rPr>
        <w:t>evidence</w:t>
      </w:r>
      <w:r w:rsidRPr="00D5729D">
        <w:rPr>
          <w:rFonts w:ascii="Garamond" w:hAnsi="Garamond" w:hint="eastAsia"/>
          <w:bCs/>
        </w:rPr>
        <w:t xml:space="preserve"> to provide.</w:t>
      </w:r>
    </w:p>
    <w:p w14:paraId="3598747F" w14:textId="36410D46" w:rsidR="009E1270" w:rsidRPr="00844964" w:rsidRDefault="00D5729D" w:rsidP="009E1270">
      <w:pPr>
        <w:spacing w:after="120"/>
        <w:jc w:val="both"/>
        <w:rPr>
          <w:rFonts w:ascii="Garamond" w:hAnsi="Garamond"/>
          <w:b/>
          <w:lang w:val="en-GB"/>
        </w:rPr>
      </w:pPr>
      <w:r>
        <w:rPr>
          <w:rFonts w:ascii="Garamond" w:hAnsi="Garamond"/>
          <w:b/>
          <w:lang w:val="en-GB"/>
        </w:rPr>
        <w:t>The Strong Interest Inventory</w:t>
      </w:r>
    </w:p>
    <w:p w14:paraId="446BB5A5" w14:textId="33541AF1" w:rsidR="00D5729D" w:rsidRPr="00D5729D" w:rsidRDefault="00D5729D" w:rsidP="00D5729D">
      <w:pPr>
        <w:spacing w:after="120"/>
        <w:ind w:firstLine="360"/>
        <w:jc w:val="both"/>
        <w:rPr>
          <w:rFonts w:ascii="Garamond" w:hAnsi="Garamond"/>
          <w:bCs/>
        </w:rPr>
      </w:pPr>
      <w:r w:rsidRPr="00D5729D">
        <w:rPr>
          <w:rFonts w:ascii="Garamond" w:hAnsi="Garamond"/>
          <w:bCs/>
        </w:rPr>
        <w:t>The</w:t>
      </w:r>
      <w:r w:rsidRPr="00D5729D">
        <w:rPr>
          <w:rFonts w:ascii="Garamond" w:hAnsi="Garamond" w:hint="eastAsia"/>
          <w:bCs/>
        </w:rPr>
        <w:t xml:space="preserve"> Strong Interest Inventory</w:t>
      </w:r>
      <w:r w:rsidRPr="00D5729D">
        <w:rPr>
          <w:rFonts w:ascii="Garamond" w:hAnsi="Garamond"/>
          <w:bCs/>
        </w:rPr>
        <w:t xml:space="preserve"> evaluates a person's preferences, utilizing a combination of personality insights and empirical data to suggest over 100 suitable career paths, highlighting the top 10 most compatible roles</w:t>
      </w:r>
      <w:r w:rsidRPr="00D5729D">
        <w:rPr>
          <w:rFonts w:ascii="Garamond" w:hAnsi="Garamond" w:hint="eastAsia"/>
          <w:bCs/>
        </w:rPr>
        <w:t xml:space="preserve"> (Strong 1927)</w:t>
      </w:r>
      <w:r w:rsidRPr="00D5729D">
        <w:rPr>
          <w:rFonts w:ascii="Garamond" w:hAnsi="Garamond"/>
          <w:bCs/>
        </w:rPr>
        <w:t>. Initially, the Strong Vocational Interest Blank used contrast groups to develop Occupational Scales, representing the interests of men in 10 professions. The first female-specific version was introduced in 1933, and separate forms for men and women continued until 1974. At that time, a unified form was created by selecting the best items from the separate male and female forms. Subsequent revisions in 1981 and 1985 aimed to equalize the scales for both sexes and broaden the range of included professions</w:t>
      </w:r>
      <w:r w:rsidRPr="00D5729D">
        <w:rPr>
          <w:rFonts w:ascii="Garamond" w:hAnsi="Garamond" w:hint="eastAsia"/>
          <w:bCs/>
        </w:rPr>
        <w:t xml:space="preserve"> (Campbell &amp; Hansen, 1981; Hansen &amp; Campbell, 1985)</w:t>
      </w:r>
      <w:r w:rsidRPr="00D5729D">
        <w:rPr>
          <w:rFonts w:ascii="Garamond" w:hAnsi="Garamond"/>
          <w:bCs/>
        </w:rPr>
        <w:t>. The most recent updates occurred in 200</w:t>
      </w:r>
      <w:r w:rsidRPr="00D5729D">
        <w:rPr>
          <w:rFonts w:ascii="Garamond" w:hAnsi="Garamond" w:hint="eastAsia"/>
          <w:bCs/>
        </w:rPr>
        <w:t xml:space="preserve">4 </w:t>
      </w:r>
      <w:r w:rsidRPr="00D5729D">
        <w:rPr>
          <w:rFonts w:ascii="Garamond" w:hAnsi="Garamond" w:hint="eastAsia"/>
          <w:bCs/>
          <w:lang w:val="en-CA"/>
        </w:rPr>
        <w:t xml:space="preserve">(Donnay et al., 2005; </w:t>
      </w:r>
      <w:r w:rsidRPr="00D5729D">
        <w:rPr>
          <w:rFonts w:ascii="Garamond" w:hAnsi="Garamond"/>
          <w:bCs/>
          <w:lang w:val="en-CA"/>
        </w:rPr>
        <w:t>Schaubhut</w:t>
      </w:r>
      <w:r w:rsidRPr="00D5729D">
        <w:rPr>
          <w:rFonts w:ascii="Garamond" w:hAnsi="Garamond" w:hint="eastAsia"/>
          <w:bCs/>
          <w:lang w:val="en-CA"/>
        </w:rPr>
        <w:t xml:space="preserve"> et al., 2004)</w:t>
      </w:r>
      <w:r w:rsidRPr="00D5729D">
        <w:rPr>
          <w:rFonts w:ascii="Garamond" w:hAnsi="Garamond"/>
          <w:bCs/>
        </w:rPr>
        <w:t>.</w:t>
      </w:r>
      <w:r w:rsidRPr="00D5729D">
        <w:rPr>
          <w:rFonts w:ascii="Garamond" w:hAnsi="Garamond" w:hint="eastAsia"/>
          <w:bCs/>
        </w:rPr>
        <w:t xml:space="preserve"> </w:t>
      </w:r>
      <w:r w:rsidRPr="00D5729D">
        <w:rPr>
          <w:rFonts w:ascii="Garamond" w:hAnsi="Garamond"/>
          <w:bCs/>
        </w:rPr>
        <w:t>Schaubhut</w:t>
      </w:r>
      <w:r w:rsidRPr="00D5729D">
        <w:rPr>
          <w:rFonts w:ascii="Garamond" w:hAnsi="Garamond" w:hint="eastAsia"/>
          <w:bCs/>
        </w:rPr>
        <w:t xml:space="preserve"> et al. reported a </w:t>
      </w:r>
      <w:r w:rsidRPr="00D5729D">
        <w:rPr>
          <w:rFonts w:ascii="Garamond" w:hAnsi="Garamond"/>
          <w:bCs/>
        </w:rPr>
        <w:t>validation study</w:t>
      </w:r>
      <w:r w:rsidRPr="00D5729D">
        <w:rPr>
          <w:rFonts w:ascii="Garamond" w:hAnsi="Garamond" w:hint="eastAsia"/>
          <w:bCs/>
        </w:rPr>
        <w:t xml:space="preserve"> on this version in the 2004 </w:t>
      </w:r>
      <w:r w:rsidRPr="00D5729D">
        <w:rPr>
          <w:rFonts w:ascii="Garamond" w:hAnsi="Garamond"/>
          <w:bCs/>
        </w:rPr>
        <w:t>Annual Convention of the American Psychological Association</w:t>
      </w:r>
      <w:r w:rsidRPr="00D5729D">
        <w:rPr>
          <w:rFonts w:ascii="Garamond" w:hAnsi="Garamond" w:hint="eastAsia"/>
          <w:bCs/>
        </w:rPr>
        <w:t xml:space="preserve"> and named it 2004 SII, but the full report of </w:t>
      </w:r>
      <w:r w:rsidRPr="00D5729D">
        <w:rPr>
          <w:rFonts w:ascii="Garamond" w:hAnsi="Garamond"/>
          <w:bCs/>
        </w:rPr>
        <w:t xml:space="preserve">the </w:t>
      </w:r>
      <w:r w:rsidRPr="00D5729D">
        <w:rPr>
          <w:rFonts w:ascii="Garamond" w:hAnsi="Garamond" w:hint="eastAsia"/>
          <w:bCs/>
        </w:rPr>
        <w:t xml:space="preserve">version was first published in 2005. Thus, this version was also called </w:t>
      </w:r>
      <w:r w:rsidR="009173C5">
        <w:rPr>
          <w:rFonts w:ascii="Garamond" w:hAnsi="Garamond"/>
          <w:bCs/>
        </w:rPr>
        <w:t xml:space="preserve">the </w:t>
      </w:r>
      <w:r w:rsidRPr="00D5729D">
        <w:rPr>
          <w:rFonts w:ascii="Garamond" w:hAnsi="Garamond" w:hint="eastAsia"/>
          <w:bCs/>
        </w:rPr>
        <w:t>2005</w:t>
      </w:r>
      <w:r w:rsidRPr="00D5729D">
        <w:rPr>
          <w:rFonts w:ascii="Garamond" w:hAnsi="Garamond"/>
          <w:bCs/>
        </w:rPr>
        <w:t xml:space="preserve"> SII</w:t>
      </w:r>
      <w:r w:rsidRPr="00D5729D">
        <w:rPr>
          <w:rFonts w:ascii="Garamond" w:hAnsi="Garamond" w:hint="eastAsia"/>
          <w:bCs/>
        </w:rPr>
        <w:t>. In this version, t</w:t>
      </w:r>
      <w:r w:rsidRPr="00D5729D">
        <w:rPr>
          <w:rFonts w:ascii="Garamond" w:hAnsi="Garamond"/>
          <w:bCs/>
        </w:rPr>
        <w:t>he assessment consists of 291 items, each requiring the respondent to indicate their preferences from five response categories. These responses are analyzed to generate scores across several</w:t>
      </w:r>
      <w:r w:rsidRPr="00D5729D">
        <w:rPr>
          <w:rFonts w:ascii="Garamond" w:hAnsi="Garamond" w:hint="eastAsia"/>
          <w:bCs/>
        </w:rPr>
        <w:t xml:space="preserve"> different parts</w:t>
      </w:r>
      <w:r w:rsidRPr="00D5729D">
        <w:rPr>
          <w:rFonts w:ascii="Garamond" w:hAnsi="Garamond"/>
          <w:bCs/>
        </w:rPr>
        <w:t>:</w:t>
      </w:r>
    </w:p>
    <w:p w14:paraId="732461D1" w14:textId="77777777" w:rsidR="00D5729D" w:rsidRPr="00D5729D" w:rsidRDefault="00D5729D" w:rsidP="00D5729D">
      <w:pPr>
        <w:numPr>
          <w:ilvl w:val="0"/>
          <w:numId w:val="11"/>
        </w:numPr>
        <w:spacing w:after="120"/>
        <w:jc w:val="both"/>
        <w:rPr>
          <w:rFonts w:ascii="Garamond" w:hAnsi="Garamond"/>
          <w:bCs/>
        </w:rPr>
      </w:pPr>
      <w:r w:rsidRPr="00D5729D">
        <w:rPr>
          <w:rFonts w:ascii="Garamond" w:hAnsi="Garamond"/>
          <w:bCs/>
        </w:rPr>
        <w:t>General Occupational Themes (GOTs): Reflecting the respondent’s overall work orientation based on Holland’s RIASEC model.</w:t>
      </w:r>
    </w:p>
    <w:p w14:paraId="55C977D3" w14:textId="77777777" w:rsidR="00D5729D" w:rsidRPr="00D5729D" w:rsidRDefault="00D5729D" w:rsidP="00D5729D">
      <w:pPr>
        <w:numPr>
          <w:ilvl w:val="0"/>
          <w:numId w:val="11"/>
        </w:numPr>
        <w:spacing w:after="120"/>
        <w:jc w:val="both"/>
        <w:rPr>
          <w:rFonts w:ascii="Garamond" w:hAnsi="Garamond"/>
          <w:bCs/>
        </w:rPr>
      </w:pPr>
      <w:r w:rsidRPr="00D5729D">
        <w:rPr>
          <w:rFonts w:ascii="Garamond" w:hAnsi="Garamond"/>
          <w:bCs/>
        </w:rPr>
        <w:t>Basic Interest Scales (BISs): Measuring interest consistency in 30 specific areas such as art, science, and education.</w:t>
      </w:r>
    </w:p>
    <w:p w14:paraId="2D06BEE2" w14:textId="77777777" w:rsidR="00D5729D" w:rsidRPr="00D5729D" w:rsidRDefault="00D5729D" w:rsidP="00D5729D">
      <w:pPr>
        <w:numPr>
          <w:ilvl w:val="0"/>
          <w:numId w:val="11"/>
        </w:numPr>
        <w:spacing w:after="120"/>
        <w:jc w:val="both"/>
        <w:rPr>
          <w:rFonts w:ascii="Garamond" w:hAnsi="Garamond"/>
          <w:bCs/>
        </w:rPr>
      </w:pPr>
      <w:r w:rsidRPr="00D5729D">
        <w:rPr>
          <w:rFonts w:ascii="Garamond" w:hAnsi="Garamond"/>
          <w:bCs/>
        </w:rPr>
        <w:t>Occupational Scales (OSs): Indicating the similarity between the respondent’s interests and those of people in 244 occupations (122 for each gender).</w:t>
      </w:r>
    </w:p>
    <w:p w14:paraId="76D5A6C9" w14:textId="77777777" w:rsidR="00D5729D" w:rsidRPr="00D5729D" w:rsidRDefault="00D5729D" w:rsidP="00D5729D">
      <w:pPr>
        <w:numPr>
          <w:ilvl w:val="0"/>
          <w:numId w:val="11"/>
        </w:numPr>
        <w:spacing w:after="120"/>
        <w:jc w:val="both"/>
        <w:rPr>
          <w:rFonts w:ascii="Garamond" w:hAnsi="Garamond"/>
          <w:bCs/>
        </w:rPr>
      </w:pPr>
      <w:r w:rsidRPr="00D5729D">
        <w:rPr>
          <w:rFonts w:ascii="Garamond" w:hAnsi="Garamond"/>
          <w:bCs/>
        </w:rPr>
        <w:t>Personal Style Scales (PSSs): Assessing preferences for learning, working, leadership, risk-taking, and teamwork.</w:t>
      </w:r>
    </w:p>
    <w:p w14:paraId="7D6C602E" w14:textId="77777777" w:rsidR="00D5729D" w:rsidRPr="00D5729D" w:rsidRDefault="00D5729D" w:rsidP="00D5729D">
      <w:pPr>
        <w:spacing w:after="120"/>
        <w:ind w:firstLine="360"/>
        <w:jc w:val="both"/>
        <w:rPr>
          <w:rFonts w:ascii="Garamond" w:hAnsi="Garamond"/>
          <w:bCs/>
        </w:rPr>
      </w:pPr>
      <w:r w:rsidRPr="00D5729D">
        <w:rPr>
          <w:rFonts w:ascii="Garamond" w:hAnsi="Garamond"/>
          <w:bCs/>
        </w:rPr>
        <w:t>The scale scores on the SII scales have a high degree of test-retest repeatability</w:t>
      </w:r>
      <w:r w:rsidRPr="00D5729D">
        <w:rPr>
          <w:rFonts w:ascii="Garamond" w:hAnsi="Garamond" w:hint="eastAsia"/>
          <w:bCs/>
        </w:rPr>
        <w:t xml:space="preserve"> in </w:t>
      </w:r>
      <w:r w:rsidRPr="00D5729D">
        <w:rPr>
          <w:rFonts w:ascii="Garamond" w:hAnsi="Garamond"/>
          <w:bCs/>
        </w:rPr>
        <w:t>the</w:t>
      </w:r>
      <w:r w:rsidRPr="00D5729D">
        <w:rPr>
          <w:rFonts w:ascii="Garamond" w:hAnsi="Garamond" w:hint="eastAsia"/>
          <w:bCs/>
        </w:rPr>
        <w:t xml:space="preserve"> delivery </w:t>
      </w:r>
      <w:r w:rsidRPr="00D5729D">
        <w:rPr>
          <w:rFonts w:ascii="Garamond" w:hAnsi="Garamond"/>
          <w:bCs/>
        </w:rPr>
        <w:t xml:space="preserve">of </w:t>
      </w:r>
      <w:r w:rsidRPr="00D5729D">
        <w:rPr>
          <w:rFonts w:ascii="Garamond" w:hAnsi="Garamond" w:hint="eastAsia"/>
          <w:bCs/>
        </w:rPr>
        <w:t xml:space="preserve">technical </w:t>
      </w:r>
      <w:r w:rsidRPr="00D5729D">
        <w:rPr>
          <w:rFonts w:ascii="Garamond" w:hAnsi="Garamond"/>
          <w:bCs/>
        </w:rPr>
        <w:t xml:space="preserve">reports. The GOT had median reliabilities of 0.86 and 0.84 during short and long interval periods, the BIS had median reliabilities of 0.74–0.94, and the range for the Occupational Scales was 0.71–0.93. </w:t>
      </w:r>
    </w:p>
    <w:p w14:paraId="41B2CBF5" w14:textId="49495CE4" w:rsidR="00D5729D" w:rsidRPr="00D5729D" w:rsidRDefault="00D5729D" w:rsidP="00D5729D">
      <w:pPr>
        <w:spacing w:after="120"/>
        <w:ind w:firstLine="360"/>
        <w:jc w:val="both"/>
        <w:rPr>
          <w:rFonts w:ascii="Garamond" w:hAnsi="Garamond"/>
          <w:bCs/>
        </w:rPr>
      </w:pPr>
      <w:r w:rsidRPr="00D5729D">
        <w:rPr>
          <w:rFonts w:ascii="Garamond" w:hAnsi="Garamond" w:hint="eastAsia"/>
          <w:bCs/>
        </w:rPr>
        <w:t>With a long history, r</w:t>
      </w:r>
      <w:r w:rsidRPr="00D5729D">
        <w:rPr>
          <w:rFonts w:ascii="Garamond" w:hAnsi="Garamond"/>
          <w:bCs/>
        </w:rPr>
        <w:t>esearchers have examined the accuracy of interest evaluations among various racial and ethnic groups using various methods.</w:t>
      </w:r>
      <w:r w:rsidRPr="00D5729D">
        <w:rPr>
          <w:rFonts w:ascii="Garamond" w:hAnsi="Garamond" w:hint="eastAsia"/>
          <w:bCs/>
        </w:rPr>
        <w:t xml:space="preserve"> </w:t>
      </w:r>
      <w:r w:rsidRPr="00D5729D">
        <w:rPr>
          <w:rFonts w:ascii="Garamond" w:hAnsi="Garamond"/>
          <w:bCs/>
        </w:rPr>
        <w:t>Nye et al. (2017) conducted a</w:t>
      </w:r>
      <w:r w:rsidRPr="00D5729D">
        <w:rPr>
          <w:rFonts w:ascii="Garamond" w:hAnsi="Garamond"/>
          <w:b/>
          <w:bCs/>
        </w:rPr>
        <w:t xml:space="preserve"> </w:t>
      </w:r>
      <w:r w:rsidRPr="00D5729D">
        <w:rPr>
          <w:rFonts w:ascii="Garamond" w:hAnsi="Garamond"/>
          <w:bCs/>
        </w:rPr>
        <w:t>meta-analysis on the validation studies of RIASEC-aligned measures, such as the Self-Directed Search (SDS) and Vocational Preference Inventory (VPI). They reported a corrected operational validity for interest congruence</w:t>
      </w:r>
      <w:r w:rsidRPr="00D5729D">
        <w:rPr>
          <w:rFonts w:ascii="Garamond" w:hAnsi="Garamond"/>
          <w:b/>
          <w:bCs/>
        </w:rPr>
        <w:t xml:space="preserve"> </w:t>
      </w:r>
      <w:r w:rsidRPr="00D5729D">
        <w:rPr>
          <w:rFonts w:ascii="Garamond" w:hAnsi="Garamond"/>
          <w:bCs/>
        </w:rPr>
        <w:t>(i.e., the match between a person’s interests and their work environment) in predicting</w:t>
      </w:r>
      <w:r w:rsidRPr="00D5729D">
        <w:rPr>
          <w:rFonts w:ascii="Garamond" w:hAnsi="Garamond"/>
          <w:b/>
          <w:bCs/>
        </w:rPr>
        <w:t xml:space="preserve"> </w:t>
      </w:r>
      <w:r w:rsidRPr="00D5729D">
        <w:rPr>
          <w:rFonts w:ascii="Garamond" w:hAnsi="Garamond"/>
          <w:bCs/>
        </w:rPr>
        <w:t>job performance</w:t>
      </w:r>
      <w:r w:rsidRPr="00D5729D">
        <w:rPr>
          <w:rFonts w:ascii="Garamond" w:hAnsi="Garamond"/>
          <w:b/>
          <w:bCs/>
        </w:rPr>
        <w:t xml:space="preserve"> </w:t>
      </w:r>
      <w:r w:rsidRPr="00D5729D">
        <w:rPr>
          <w:rFonts w:ascii="Garamond" w:hAnsi="Garamond"/>
          <w:bCs/>
        </w:rPr>
        <w:t>is</w:t>
      </w:r>
      <w:r w:rsidRPr="00D5729D">
        <w:rPr>
          <w:rFonts w:ascii="Garamond" w:hAnsi="Garamond"/>
          <w:b/>
          <w:bCs/>
        </w:rPr>
        <w:t xml:space="preserve"> </w:t>
      </w:r>
      <w:r w:rsidR="009173C5">
        <w:rPr>
          <w:rFonts w:ascii="Garamond" w:hAnsi="Garamond"/>
          <w:b/>
          <w:bCs/>
        </w:rPr>
        <w:t>0</w:t>
      </w:r>
      <w:r w:rsidRPr="00D5729D">
        <w:rPr>
          <w:rFonts w:ascii="Garamond" w:hAnsi="Garamond"/>
          <w:bCs/>
        </w:rPr>
        <w:t xml:space="preserve">.32, compared to .16 for interest scores alone. Other studies also reported similar estimates (Sackett et al., 2022). </w:t>
      </w:r>
      <w:r w:rsidRPr="00D5729D">
        <w:rPr>
          <w:rFonts w:ascii="Garamond" w:hAnsi="Garamond" w:hint="eastAsia"/>
          <w:bCs/>
        </w:rPr>
        <w:t xml:space="preserve">However, there is no study summarizing </w:t>
      </w:r>
      <w:r w:rsidRPr="00D5729D">
        <w:rPr>
          <w:rFonts w:ascii="Garamond" w:hAnsi="Garamond"/>
          <w:bCs/>
        </w:rPr>
        <w:t>SII’s</w:t>
      </w:r>
      <w:r w:rsidRPr="00D5729D">
        <w:rPr>
          <w:rFonts w:ascii="Garamond" w:hAnsi="Garamond" w:hint="eastAsia"/>
          <w:bCs/>
        </w:rPr>
        <w:t xml:space="preserve"> validation practices in recent </w:t>
      </w:r>
      <w:r w:rsidRPr="00D5729D">
        <w:rPr>
          <w:rFonts w:ascii="Garamond" w:hAnsi="Garamond"/>
          <w:bCs/>
        </w:rPr>
        <w:t>years</w:t>
      </w:r>
      <w:r w:rsidRPr="00D5729D">
        <w:rPr>
          <w:rFonts w:ascii="Garamond" w:hAnsi="Garamond" w:hint="eastAsia"/>
          <w:bCs/>
        </w:rPr>
        <w:t xml:space="preserve">, especially after its most recent revision </w:t>
      </w:r>
      <w:r w:rsidRPr="00D5729D">
        <w:rPr>
          <w:rFonts w:ascii="Garamond" w:hAnsi="Garamond"/>
          <w:bCs/>
        </w:rPr>
        <w:t>in</w:t>
      </w:r>
      <w:r w:rsidRPr="00D5729D">
        <w:rPr>
          <w:rFonts w:ascii="Garamond" w:hAnsi="Garamond" w:hint="eastAsia"/>
          <w:bCs/>
        </w:rPr>
        <w:t xml:space="preserve"> 2004. Meanwhile, there is also a gap </w:t>
      </w:r>
      <w:r w:rsidRPr="00D5729D">
        <w:rPr>
          <w:rFonts w:ascii="Garamond" w:hAnsi="Garamond"/>
          <w:bCs/>
        </w:rPr>
        <w:t>in using</w:t>
      </w:r>
      <w:r w:rsidRPr="00D5729D">
        <w:rPr>
          <w:rFonts w:ascii="Garamond" w:hAnsi="Garamond" w:hint="eastAsia"/>
          <w:bCs/>
        </w:rPr>
        <w:t xml:space="preserve"> a systematic way to collect validity evidence and summarize the validity theories used in previous validation studies. Thus, the aims of this paper are </w:t>
      </w:r>
      <w:r w:rsidR="009173C5">
        <w:rPr>
          <w:rFonts w:ascii="Garamond" w:hAnsi="Garamond"/>
          <w:bCs/>
        </w:rPr>
        <w:t xml:space="preserve">as follow. </w:t>
      </w:r>
    </w:p>
    <w:p w14:paraId="2FA83EA4" w14:textId="046FA578" w:rsidR="00D5729D" w:rsidRPr="00844964" w:rsidRDefault="00D5729D" w:rsidP="00D5729D">
      <w:pPr>
        <w:spacing w:after="120"/>
        <w:jc w:val="both"/>
        <w:rPr>
          <w:rFonts w:ascii="Garamond" w:hAnsi="Garamond"/>
          <w:b/>
          <w:lang w:val="en-GB"/>
        </w:rPr>
      </w:pPr>
      <w:r>
        <w:rPr>
          <w:rFonts w:ascii="Garamond" w:hAnsi="Garamond"/>
          <w:b/>
          <w:lang w:val="en-GB"/>
        </w:rPr>
        <w:t>Aims of this Study</w:t>
      </w:r>
    </w:p>
    <w:p w14:paraId="6926BD04" w14:textId="47D837B2" w:rsidR="00D5729D" w:rsidRPr="00D5729D" w:rsidRDefault="00D5729D" w:rsidP="00D5729D">
      <w:pPr>
        <w:spacing w:after="120"/>
        <w:ind w:firstLine="360"/>
        <w:jc w:val="both"/>
        <w:rPr>
          <w:rFonts w:ascii="Garamond" w:hAnsi="Garamond"/>
          <w:bCs/>
        </w:rPr>
      </w:pPr>
      <w:r w:rsidRPr="00D5729D">
        <w:rPr>
          <w:rFonts w:ascii="Garamond" w:hAnsi="Garamond" w:hint="eastAsia"/>
          <w:bCs/>
        </w:rPr>
        <w:lastRenderedPageBreak/>
        <w:t xml:space="preserve">This </w:t>
      </w:r>
      <w:r>
        <w:rPr>
          <w:rFonts w:ascii="Garamond" w:hAnsi="Garamond"/>
          <w:bCs/>
        </w:rPr>
        <w:t>study</w:t>
      </w:r>
      <w:r w:rsidRPr="00D5729D">
        <w:rPr>
          <w:rFonts w:ascii="Garamond" w:hAnsi="Garamond" w:hint="eastAsia"/>
          <w:bCs/>
        </w:rPr>
        <w:t xml:space="preserve"> will have the following purpose</w:t>
      </w:r>
      <w:r w:rsidR="009173C5">
        <w:rPr>
          <w:rFonts w:ascii="Garamond" w:hAnsi="Garamond"/>
          <w:bCs/>
        </w:rPr>
        <w:t>s</w:t>
      </w:r>
      <w:r w:rsidRPr="00D5729D">
        <w:rPr>
          <w:rFonts w:ascii="Garamond" w:hAnsi="Garamond" w:hint="eastAsia"/>
          <w:bCs/>
        </w:rPr>
        <w:t xml:space="preserve">: 1) </w:t>
      </w:r>
      <w:r w:rsidRPr="00D5729D">
        <w:rPr>
          <w:rFonts w:ascii="Garamond" w:hAnsi="Garamond"/>
          <w:bCs/>
        </w:rPr>
        <w:t>to investigate</w:t>
      </w:r>
      <w:r w:rsidRPr="00D5729D">
        <w:rPr>
          <w:rFonts w:ascii="Garamond" w:hAnsi="Garamond" w:hint="eastAsia"/>
          <w:bCs/>
        </w:rPr>
        <w:t xml:space="preserve"> the sample characteristics for the SII in papers published in recent years; 2) </w:t>
      </w:r>
      <w:r w:rsidRPr="00D5729D">
        <w:rPr>
          <w:rFonts w:ascii="Garamond" w:hAnsi="Garamond"/>
          <w:bCs/>
        </w:rPr>
        <w:t>to examine</w:t>
      </w:r>
      <w:r w:rsidRPr="00D5729D">
        <w:rPr>
          <w:rFonts w:ascii="Garamond" w:hAnsi="Garamond" w:hint="eastAsia"/>
          <w:bCs/>
        </w:rPr>
        <w:t xml:space="preserve"> the validity theories they adopted and, 3) </w:t>
      </w:r>
      <w:r w:rsidRPr="00D5729D">
        <w:rPr>
          <w:rFonts w:ascii="Garamond" w:hAnsi="Garamond"/>
          <w:bCs/>
        </w:rPr>
        <w:t>to collect</w:t>
      </w:r>
      <w:r w:rsidRPr="00D5729D">
        <w:rPr>
          <w:rFonts w:ascii="Garamond" w:hAnsi="Garamond" w:hint="eastAsia"/>
          <w:bCs/>
        </w:rPr>
        <w:t xml:space="preserve"> validity evidence they reported. The framework and methods of this paper are similar to another synthesis of validation practices of the </w:t>
      </w:r>
      <w:r w:rsidRPr="00D5729D">
        <w:rPr>
          <w:rFonts w:ascii="Garamond" w:hAnsi="Garamond"/>
          <w:bCs/>
        </w:rPr>
        <w:t>Kuder Occupational Interest Survey</w:t>
      </w:r>
      <w:r w:rsidRPr="00D5729D">
        <w:rPr>
          <w:rFonts w:ascii="Garamond" w:hAnsi="Garamond" w:hint="eastAsia"/>
          <w:bCs/>
        </w:rPr>
        <w:t xml:space="preserve"> (Chan et al., 2014), with modifications for the three aims. </w:t>
      </w:r>
    </w:p>
    <w:p w14:paraId="20B0B18F" w14:textId="77777777" w:rsidR="009E1270" w:rsidRDefault="009E1270" w:rsidP="009E1270">
      <w:pPr>
        <w:spacing w:after="120"/>
        <w:jc w:val="both"/>
        <w:rPr>
          <w:rFonts w:ascii="Garamond" w:hAnsi="Garamond"/>
          <w:bCs/>
          <w:lang w:val="en-GB"/>
        </w:rPr>
      </w:pPr>
    </w:p>
    <w:p w14:paraId="1ED50445" w14:textId="1AF14B2D" w:rsidR="00FE6289" w:rsidRPr="001C64BC" w:rsidRDefault="00D5729D" w:rsidP="00FE6289">
      <w:pPr>
        <w:spacing w:after="120"/>
        <w:jc w:val="both"/>
        <w:rPr>
          <w:rFonts w:ascii="Garamond" w:eastAsia="Calibri" w:hAnsi="Garamond" w:cs="Arial"/>
          <w:b/>
          <w:bCs/>
          <w:color w:val="891D1D"/>
          <w:sz w:val="28"/>
          <w:szCs w:val="28"/>
          <w:lang w:val="en-GB"/>
        </w:rPr>
      </w:pPr>
      <w:r>
        <w:rPr>
          <w:rFonts w:ascii="Garamond" w:eastAsia="Calibri" w:hAnsi="Garamond" w:cs="Arial"/>
          <w:b/>
          <w:bCs/>
          <w:color w:val="891D1D"/>
          <w:sz w:val="28"/>
          <w:szCs w:val="28"/>
        </w:rPr>
        <w:t>Methods</w:t>
      </w:r>
    </w:p>
    <w:p w14:paraId="16B28ADC" w14:textId="70755396" w:rsidR="00D5729D" w:rsidRPr="00844964" w:rsidRDefault="00D5729D" w:rsidP="00D5729D">
      <w:pPr>
        <w:spacing w:after="120"/>
        <w:jc w:val="both"/>
        <w:rPr>
          <w:rFonts w:ascii="Garamond" w:hAnsi="Garamond"/>
          <w:b/>
          <w:lang w:val="en-GB"/>
        </w:rPr>
      </w:pPr>
      <w:bookmarkStart w:id="1" w:name="_Toc157693964"/>
      <w:r>
        <w:rPr>
          <w:rFonts w:ascii="Garamond" w:hAnsi="Garamond"/>
          <w:b/>
          <w:lang w:val="en-GB"/>
        </w:rPr>
        <w:t>Data Search and Inclusi</w:t>
      </w:r>
      <w:r w:rsidR="002313CB">
        <w:rPr>
          <w:rFonts w:ascii="Garamond" w:hAnsi="Garamond"/>
          <w:b/>
          <w:lang w:val="en-GB"/>
        </w:rPr>
        <w:t>on</w:t>
      </w:r>
      <w:r>
        <w:rPr>
          <w:rFonts w:ascii="Garamond" w:hAnsi="Garamond"/>
          <w:b/>
          <w:lang w:val="en-GB"/>
        </w:rPr>
        <w:t xml:space="preserve"> Criteria</w:t>
      </w:r>
    </w:p>
    <w:p w14:paraId="0B7B4C5F" w14:textId="00A87AA7" w:rsidR="00D5729D" w:rsidRDefault="00D5729D" w:rsidP="00D5729D">
      <w:pPr>
        <w:spacing w:after="120"/>
        <w:ind w:firstLine="360"/>
        <w:jc w:val="both"/>
        <w:rPr>
          <w:rFonts w:ascii="Garamond" w:hAnsi="Garamond"/>
          <w:bCs/>
        </w:rPr>
      </w:pPr>
      <w:r w:rsidRPr="00D5729D">
        <w:rPr>
          <w:rFonts w:ascii="Garamond" w:hAnsi="Garamond" w:hint="eastAsia"/>
          <w:bCs/>
        </w:rPr>
        <w:t xml:space="preserve">The </w:t>
      </w:r>
      <w:r w:rsidRPr="00D5729D">
        <w:rPr>
          <w:rFonts w:ascii="Garamond" w:hAnsi="Garamond"/>
          <w:bCs/>
        </w:rPr>
        <w:t>literature search</w:t>
      </w:r>
      <w:r w:rsidRPr="00D5729D">
        <w:rPr>
          <w:rFonts w:ascii="Garamond" w:hAnsi="Garamond" w:hint="eastAsia"/>
          <w:bCs/>
        </w:rPr>
        <w:t xml:space="preserve"> </w:t>
      </w:r>
      <w:r w:rsidRPr="00D5729D">
        <w:rPr>
          <w:rFonts w:ascii="Garamond" w:hAnsi="Garamond"/>
          <w:bCs/>
        </w:rPr>
        <w:t>is</w:t>
      </w:r>
      <w:r w:rsidRPr="00D5729D">
        <w:rPr>
          <w:rFonts w:ascii="Garamond" w:hAnsi="Garamond" w:hint="eastAsia"/>
          <w:bCs/>
        </w:rPr>
        <w:t xml:space="preserve"> based on four chosen journals: </w:t>
      </w:r>
      <w:r w:rsidRPr="00D5729D">
        <w:rPr>
          <w:rFonts w:ascii="Garamond" w:hAnsi="Garamond"/>
          <w:bCs/>
        </w:rPr>
        <w:t xml:space="preserve">Journal of </w:t>
      </w:r>
      <w:r w:rsidRPr="00D5729D">
        <w:rPr>
          <w:rFonts w:ascii="Garamond" w:hAnsi="Garamond" w:hint="eastAsia"/>
          <w:bCs/>
        </w:rPr>
        <w:t>V</w:t>
      </w:r>
      <w:r w:rsidRPr="00D5729D">
        <w:rPr>
          <w:rFonts w:ascii="Garamond" w:hAnsi="Garamond"/>
          <w:bCs/>
        </w:rPr>
        <w:t xml:space="preserve">ocational </w:t>
      </w:r>
      <w:r w:rsidRPr="00D5729D">
        <w:rPr>
          <w:rFonts w:ascii="Garamond" w:hAnsi="Garamond" w:hint="eastAsia"/>
          <w:bCs/>
        </w:rPr>
        <w:t>B</w:t>
      </w:r>
      <w:r w:rsidRPr="00D5729D">
        <w:rPr>
          <w:rFonts w:ascii="Garamond" w:hAnsi="Garamond"/>
          <w:bCs/>
        </w:rPr>
        <w:t>ehavior</w:t>
      </w:r>
      <w:r w:rsidRPr="00D5729D">
        <w:rPr>
          <w:rFonts w:ascii="Garamond" w:hAnsi="Garamond" w:hint="eastAsia"/>
          <w:bCs/>
        </w:rPr>
        <w:t xml:space="preserve">, </w:t>
      </w:r>
      <w:r w:rsidRPr="00D5729D">
        <w:rPr>
          <w:rFonts w:ascii="Garamond" w:hAnsi="Garamond"/>
          <w:bCs/>
        </w:rPr>
        <w:t xml:space="preserve">Journal of </w:t>
      </w:r>
      <w:r w:rsidRPr="00D5729D">
        <w:rPr>
          <w:rFonts w:ascii="Garamond" w:hAnsi="Garamond" w:hint="eastAsia"/>
          <w:bCs/>
        </w:rPr>
        <w:t>C</w:t>
      </w:r>
      <w:r w:rsidRPr="00D5729D">
        <w:rPr>
          <w:rFonts w:ascii="Garamond" w:hAnsi="Garamond"/>
          <w:bCs/>
        </w:rPr>
        <w:t xml:space="preserve">areer </w:t>
      </w:r>
      <w:r w:rsidRPr="00D5729D">
        <w:rPr>
          <w:rFonts w:ascii="Garamond" w:hAnsi="Garamond" w:hint="eastAsia"/>
          <w:bCs/>
        </w:rPr>
        <w:t>A</w:t>
      </w:r>
      <w:r w:rsidRPr="00D5729D">
        <w:rPr>
          <w:rFonts w:ascii="Garamond" w:hAnsi="Garamond"/>
          <w:bCs/>
        </w:rPr>
        <w:t>ssessment</w:t>
      </w:r>
      <w:r w:rsidRPr="00D5729D">
        <w:rPr>
          <w:rFonts w:ascii="Garamond" w:hAnsi="Garamond" w:hint="eastAsia"/>
          <w:bCs/>
        </w:rPr>
        <w:t xml:space="preserve">, </w:t>
      </w:r>
      <w:r w:rsidRPr="00D5729D">
        <w:rPr>
          <w:rFonts w:ascii="Garamond" w:hAnsi="Garamond"/>
          <w:bCs/>
        </w:rPr>
        <w:t xml:space="preserve">Measurement and </w:t>
      </w:r>
      <w:r w:rsidRPr="00D5729D">
        <w:rPr>
          <w:rFonts w:ascii="Garamond" w:hAnsi="Garamond" w:hint="eastAsia"/>
          <w:bCs/>
        </w:rPr>
        <w:t>E</w:t>
      </w:r>
      <w:r w:rsidRPr="00D5729D">
        <w:rPr>
          <w:rFonts w:ascii="Garamond" w:hAnsi="Garamond"/>
          <w:bCs/>
        </w:rPr>
        <w:t xml:space="preserve">valuation in </w:t>
      </w:r>
      <w:r w:rsidRPr="00D5729D">
        <w:rPr>
          <w:rFonts w:ascii="Garamond" w:hAnsi="Garamond" w:hint="eastAsia"/>
          <w:bCs/>
        </w:rPr>
        <w:t>C</w:t>
      </w:r>
      <w:r w:rsidRPr="00D5729D">
        <w:rPr>
          <w:rFonts w:ascii="Garamond" w:hAnsi="Garamond"/>
          <w:bCs/>
        </w:rPr>
        <w:t xml:space="preserve">ounseling and </w:t>
      </w:r>
      <w:r w:rsidRPr="00D5729D">
        <w:rPr>
          <w:rFonts w:ascii="Garamond" w:hAnsi="Garamond" w:hint="eastAsia"/>
          <w:bCs/>
        </w:rPr>
        <w:t>D</w:t>
      </w:r>
      <w:r w:rsidRPr="00D5729D">
        <w:rPr>
          <w:rFonts w:ascii="Garamond" w:hAnsi="Garamond"/>
          <w:bCs/>
        </w:rPr>
        <w:t>evelopment,</w:t>
      </w:r>
      <w:r w:rsidRPr="00D5729D">
        <w:rPr>
          <w:rFonts w:ascii="Garamond" w:hAnsi="Garamond" w:hint="eastAsia"/>
          <w:bCs/>
        </w:rPr>
        <w:t xml:space="preserve"> and J</w:t>
      </w:r>
      <w:r w:rsidRPr="00D5729D">
        <w:rPr>
          <w:rFonts w:ascii="Garamond" w:hAnsi="Garamond"/>
          <w:bCs/>
        </w:rPr>
        <w:t xml:space="preserve">ournal of </w:t>
      </w:r>
      <w:r w:rsidRPr="00D5729D">
        <w:rPr>
          <w:rFonts w:ascii="Garamond" w:hAnsi="Garamond" w:hint="eastAsia"/>
          <w:bCs/>
        </w:rPr>
        <w:t>C</w:t>
      </w:r>
      <w:r w:rsidRPr="00D5729D">
        <w:rPr>
          <w:rFonts w:ascii="Garamond" w:hAnsi="Garamond"/>
          <w:bCs/>
        </w:rPr>
        <w:t xml:space="preserve">ounseling </w:t>
      </w:r>
      <w:r w:rsidRPr="00D5729D">
        <w:rPr>
          <w:rFonts w:ascii="Garamond" w:hAnsi="Garamond" w:hint="eastAsia"/>
          <w:bCs/>
        </w:rPr>
        <w:t>P</w:t>
      </w:r>
      <w:r w:rsidRPr="00D5729D">
        <w:rPr>
          <w:rFonts w:ascii="Garamond" w:hAnsi="Garamond"/>
          <w:bCs/>
        </w:rPr>
        <w:t>sychology</w:t>
      </w:r>
      <w:r w:rsidRPr="00D5729D">
        <w:rPr>
          <w:rFonts w:ascii="Garamond" w:hAnsi="Garamond" w:hint="eastAsia"/>
          <w:bCs/>
        </w:rPr>
        <w:t xml:space="preserve">. The first two journals focus on vocational and </w:t>
      </w:r>
      <w:r w:rsidRPr="00D5729D">
        <w:rPr>
          <w:rFonts w:ascii="Garamond" w:hAnsi="Garamond"/>
          <w:bCs/>
        </w:rPr>
        <w:t>occupational-related</w:t>
      </w:r>
      <w:r w:rsidRPr="00D5729D">
        <w:rPr>
          <w:rFonts w:ascii="Garamond" w:hAnsi="Garamond" w:hint="eastAsia"/>
          <w:bCs/>
        </w:rPr>
        <w:t xml:space="preserve"> topics, but still focus on assessments and </w:t>
      </w:r>
      <w:r w:rsidRPr="00D5729D">
        <w:rPr>
          <w:rFonts w:ascii="Garamond" w:hAnsi="Garamond"/>
          <w:bCs/>
        </w:rPr>
        <w:t>measurement</w:t>
      </w:r>
      <w:r w:rsidRPr="00D5729D">
        <w:rPr>
          <w:rFonts w:ascii="Garamond" w:hAnsi="Garamond" w:hint="eastAsia"/>
          <w:bCs/>
        </w:rPr>
        <w:t xml:space="preserve"> issues. The last two journals are more </w:t>
      </w:r>
      <w:r w:rsidRPr="00D5729D">
        <w:rPr>
          <w:rFonts w:ascii="Garamond" w:hAnsi="Garamond"/>
          <w:bCs/>
        </w:rPr>
        <w:t>focused</w:t>
      </w:r>
      <w:r w:rsidRPr="00D5729D">
        <w:rPr>
          <w:rFonts w:ascii="Garamond" w:hAnsi="Garamond" w:hint="eastAsia"/>
          <w:bCs/>
        </w:rPr>
        <w:t xml:space="preserve"> on general counseling psychology. All of the four journals are in English and </w:t>
      </w:r>
      <w:r w:rsidR="00EC4BFA" w:rsidRPr="00D5729D">
        <w:rPr>
          <w:rFonts w:ascii="Garamond" w:hAnsi="Garamond"/>
          <w:bCs/>
        </w:rPr>
        <w:t>peer reviewed</w:t>
      </w:r>
      <w:r w:rsidRPr="00D5729D">
        <w:rPr>
          <w:rFonts w:ascii="Garamond" w:hAnsi="Garamond" w:hint="eastAsia"/>
          <w:bCs/>
        </w:rPr>
        <w:t xml:space="preserve">. </w:t>
      </w:r>
    </w:p>
    <w:p w14:paraId="23ACE4D9" w14:textId="774FB55E" w:rsidR="00D5729D" w:rsidRPr="00D5729D" w:rsidRDefault="00D5729D" w:rsidP="00D5729D">
      <w:pPr>
        <w:spacing w:after="120"/>
        <w:ind w:firstLine="360"/>
        <w:jc w:val="both"/>
        <w:rPr>
          <w:rFonts w:ascii="Garamond" w:hAnsi="Garamond"/>
          <w:bCs/>
        </w:rPr>
      </w:pPr>
      <w:r w:rsidRPr="00D5729D">
        <w:rPr>
          <w:rFonts w:ascii="Garamond" w:hAnsi="Garamond"/>
          <w:bCs/>
        </w:rPr>
        <w:t xml:space="preserve">Each of the four journals' official websites was used to perform a </w:t>
      </w:r>
      <w:r w:rsidRPr="00D5729D">
        <w:rPr>
          <w:rFonts w:ascii="Garamond" w:hAnsi="Garamond" w:hint="eastAsia"/>
          <w:bCs/>
        </w:rPr>
        <w:t xml:space="preserve">two-step </w:t>
      </w:r>
      <w:r w:rsidRPr="00D5729D">
        <w:rPr>
          <w:rFonts w:ascii="Garamond" w:hAnsi="Garamond"/>
          <w:bCs/>
        </w:rPr>
        <w:t>search.</w:t>
      </w:r>
      <w:r w:rsidRPr="00D5729D">
        <w:rPr>
          <w:rFonts w:ascii="Garamond" w:hAnsi="Garamond" w:hint="eastAsia"/>
          <w:bCs/>
        </w:rPr>
        <w:t xml:space="preserve"> First, we screen</w:t>
      </w:r>
      <w:r w:rsidR="002313CB">
        <w:rPr>
          <w:rFonts w:ascii="Garamond" w:hAnsi="Garamond"/>
          <w:bCs/>
        </w:rPr>
        <w:t>ed</w:t>
      </w:r>
      <w:r w:rsidRPr="00D5729D">
        <w:rPr>
          <w:rFonts w:ascii="Garamond" w:hAnsi="Garamond" w:hint="eastAsia"/>
          <w:bCs/>
        </w:rPr>
        <w:t xml:space="preserve"> in articles with the term </w:t>
      </w:r>
      <w:r w:rsidRPr="00D5729D">
        <w:rPr>
          <w:rFonts w:ascii="Garamond" w:hAnsi="Garamond"/>
          <w:bCs/>
        </w:rPr>
        <w:t>“</w:t>
      </w:r>
      <w:r w:rsidRPr="00D5729D">
        <w:rPr>
          <w:rFonts w:ascii="Garamond" w:hAnsi="Garamond" w:hint="eastAsia"/>
          <w:bCs/>
        </w:rPr>
        <w:t>Strong Interest Inventory</w:t>
      </w:r>
      <w:r w:rsidRPr="00D5729D">
        <w:rPr>
          <w:rFonts w:ascii="Garamond" w:hAnsi="Garamond"/>
          <w:bCs/>
        </w:rPr>
        <w:t>”</w:t>
      </w:r>
      <w:r w:rsidRPr="00D5729D">
        <w:rPr>
          <w:rFonts w:ascii="Garamond" w:hAnsi="Garamond" w:hint="eastAsia"/>
          <w:bCs/>
        </w:rPr>
        <w:t>. Within these papers, a</w:t>
      </w:r>
      <w:r w:rsidRPr="00D5729D">
        <w:rPr>
          <w:rFonts w:ascii="Garamond" w:hAnsi="Garamond"/>
          <w:bCs/>
        </w:rPr>
        <w:t>rticles with the terms "valid," "validity," or "validation" in the abstract, title, or keywords were gathered and thoroughly examined.</w:t>
      </w:r>
      <w:r w:rsidRPr="00D5729D">
        <w:rPr>
          <w:rFonts w:ascii="Garamond" w:hAnsi="Garamond" w:hint="eastAsia"/>
          <w:bCs/>
        </w:rPr>
        <w:t xml:space="preserve"> We also limited the </w:t>
      </w:r>
      <w:r w:rsidRPr="00D5729D">
        <w:rPr>
          <w:rFonts w:ascii="Garamond" w:hAnsi="Garamond"/>
          <w:bCs/>
        </w:rPr>
        <w:t>period</w:t>
      </w:r>
      <w:r w:rsidRPr="00D5729D">
        <w:rPr>
          <w:rFonts w:ascii="Garamond" w:hAnsi="Garamond" w:hint="eastAsia"/>
          <w:bCs/>
        </w:rPr>
        <w:t xml:space="preserve"> </w:t>
      </w:r>
      <w:r w:rsidRPr="00D5729D">
        <w:rPr>
          <w:rFonts w:ascii="Garamond" w:hAnsi="Garamond"/>
          <w:bCs/>
        </w:rPr>
        <w:t>from</w:t>
      </w:r>
      <w:r w:rsidRPr="00D5729D">
        <w:rPr>
          <w:rFonts w:ascii="Garamond" w:hAnsi="Garamond" w:hint="eastAsia"/>
          <w:bCs/>
        </w:rPr>
        <w:t xml:space="preserve"> 2004 to 2024, not only for the reason of exploring validation studies in the recent 20 years but also focusing on the most </w:t>
      </w:r>
      <w:r w:rsidRPr="00D5729D">
        <w:rPr>
          <w:rFonts w:ascii="Garamond" w:hAnsi="Garamond"/>
          <w:bCs/>
        </w:rPr>
        <w:t xml:space="preserve">recent </w:t>
      </w:r>
      <w:r w:rsidRPr="00D5729D">
        <w:rPr>
          <w:rFonts w:ascii="Garamond" w:hAnsi="Garamond" w:hint="eastAsia"/>
          <w:bCs/>
        </w:rPr>
        <w:t xml:space="preserve">revision of 2004 SII. In </w:t>
      </w:r>
      <w:r w:rsidRPr="00D5729D">
        <w:rPr>
          <w:rFonts w:ascii="Garamond" w:hAnsi="Garamond"/>
          <w:bCs/>
        </w:rPr>
        <w:t>th</w:t>
      </w:r>
      <w:r w:rsidRPr="00D5729D">
        <w:rPr>
          <w:rFonts w:ascii="Garamond" w:hAnsi="Garamond" w:hint="eastAsia"/>
          <w:bCs/>
        </w:rPr>
        <w:t xml:space="preserve">e </w:t>
      </w:r>
      <w:r w:rsidRPr="00D5729D">
        <w:rPr>
          <w:rFonts w:ascii="Garamond" w:hAnsi="Garamond"/>
          <w:bCs/>
        </w:rPr>
        <w:t>remaining article</w:t>
      </w:r>
      <w:r w:rsidRPr="00D5729D">
        <w:rPr>
          <w:rFonts w:ascii="Garamond" w:hAnsi="Garamond" w:hint="eastAsia"/>
          <w:bCs/>
        </w:rPr>
        <w:t xml:space="preserve">s, we only included empirical validation studies, with specific </w:t>
      </w:r>
      <w:r w:rsidRPr="00D5729D">
        <w:rPr>
          <w:rFonts w:ascii="Garamond" w:hAnsi="Garamond"/>
          <w:bCs/>
        </w:rPr>
        <w:t>research</w:t>
      </w:r>
      <w:r w:rsidRPr="00D5729D">
        <w:rPr>
          <w:rFonts w:ascii="Garamond" w:hAnsi="Garamond" w:hint="eastAsia"/>
          <w:bCs/>
        </w:rPr>
        <w:t xml:space="preserve"> questions </w:t>
      </w:r>
      <w:r w:rsidRPr="00D5729D">
        <w:rPr>
          <w:rFonts w:ascii="Garamond" w:hAnsi="Garamond"/>
          <w:bCs/>
        </w:rPr>
        <w:t>focused</w:t>
      </w:r>
      <w:r w:rsidRPr="00D5729D">
        <w:rPr>
          <w:rFonts w:ascii="Garamond" w:hAnsi="Garamond" w:hint="eastAsia"/>
          <w:bCs/>
        </w:rPr>
        <w:t xml:space="preserve"> on assessing the validity </w:t>
      </w:r>
      <w:r w:rsidRPr="00D5729D">
        <w:rPr>
          <w:rFonts w:ascii="Garamond" w:hAnsi="Garamond"/>
          <w:bCs/>
        </w:rPr>
        <w:t>of</w:t>
      </w:r>
      <w:r w:rsidRPr="00D5729D">
        <w:rPr>
          <w:rFonts w:ascii="Garamond" w:hAnsi="Garamond" w:hint="eastAsia"/>
          <w:bCs/>
        </w:rPr>
        <w:t xml:space="preserve"> SII, and </w:t>
      </w:r>
      <w:r w:rsidRPr="00D5729D">
        <w:rPr>
          <w:rFonts w:ascii="Garamond" w:hAnsi="Garamond"/>
          <w:bCs/>
        </w:rPr>
        <w:t xml:space="preserve">the </w:t>
      </w:r>
      <w:r w:rsidRPr="00D5729D">
        <w:rPr>
          <w:rFonts w:ascii="Garamond" w:hAnsi="Garamond" w:hint="eastAsia"/>
          <w:bCs/>
        </w:rPr>
        <w:t xml:space="preserve">exact sample to conduct this inventory and analyze the result. </w:t>
      </w:r>
      <w:r w:rsidRPr="00D5729D">
        <w:rPr>
          <w:rFonts w:ascii="Garamond" w:hAnsi="Garamond"/>
          <w:bCs/>
        </w:rPr>
        <w:t>At</w:t>
      </w:r>
      <w:r w:rsidRPr="00D5729D">
        <w:rPr>
          <w:rFonts w:ascii="Garamond" w:hAnsi="Garamond" w:hint="eastAsia"/>
          <w:bCs/>
        </w:rPr>
        <w:t xml:space="preserve"> the end of </w:t>
      </w:r>
      <w:r w:rsidRPr="00D5729D">
        <w:rPr>
          <w:rFonts w:ascii="Garamond" w:hAnsi="Garamond"/>
          <w:bCs/>
        </w:rPr>
        <w:t xml:space="preserve">the </w:t>
      </w:r>
      <w:r w:rsidRPr="00D5729D">
        <w:rPr>
          <w:rFonts w:ascii="Garamond" w:hAnsi="Garamond" w:hint="eastAsia"/>
          <w:bCs/>
        </w:rPr>
        <w:t xml:space="preserve">screening, a total number of </w:t>
      </w:r>
      <w:r w:rsidRPr="00D5729D">
        <w:rPr>
          <w:rFonts w:ascii="Garamond" w:hAnsi="Garamond"/>
          <w:bCs/>
        </w:rPr>
        <w:t>19</w:t>
      </w:r>
      <w:r w:rsidRPr="00D5729D">
        <w:rPr>
          <w:rFonts w:ascii="Garamond" w:hAnsi="Garamond" w:hint="eastAsia"/>
          <w:bCs/>
        </w:rPr>
        <w:t xml:space="preserve"> papers were included for further review</w:t>
      </w:r>
      <w:r w:rsidRPr="00D5729D">
        <w:rPr>
          <w:rFonts w:ascii="Garamond" w:hAnsi="Garamond"/>
          <w:bCs/>
        </w:rPr>
        <w:t xml:space="preserve"> (See Figure 1)</w:t>
      </w:r>
      <w:r w:rsidRPr="00D5729D">
        <w:rPr>
          <w:rFonts w:ascii="Garamond" w:hAnsi="Garamond" w:hint="eastAsia"/>
          <w:bCs/>
        </w:rPr>
        <w:t xml:space="preserve">. </w:t>
      </w:r>
    </w:p>
    <w:p w14:paraId="3C820609" w14:textId="7803190D" w:rsidR="00D5729D" w:rsidRPr="00D5729D" w:rsidRDefault="00D5729D" w:rsidP="00D5729D">
      <w:pPr>
        <w:spacing w:after="120"/>
        <w:jc w:val="both"/>
        <w:rPr>
          <w:rFonts w:ascii="Garamond" w:hAnsi="Garamond"/>
          <w:b/>
          <w:bCs/>
        </w:rPr>
      </w:pPr>
      <w:r w:rsidRPr="00D5729D">
        <w:rPr>
          <w:rFonts w:ascii="Garamond" w:hAnsi="Garamond"/>
          <w:b/>
          <w:bCs/>
        </w:rPr>
        <w:t>Figure 1</w:t>
      </w:r>
      <w:r>
        <w:rPr>
          <w:rFonts w:ascii="Garamond" w:hAnsi="Garamond"/>
          <w:b/>
          <w:bCs/>
        </w:rPr>
        <w:t xml:space="preserve">. </w:t>
      </w:r>
      <w:r w:rsidRPr="00D5729D">
        <w:rPr>
          <w:rFonts w:ascii="Garamond" w:hAnsi="Garamond"/>
          <w:bCs/>
        </w:rPr>
        <w:t>Flow charts for data search and exclusive steps</w:t>
      </w:r>
    </w:p>
    <w:p w14:paraId="632E6407" w14:textId="77777777" w:rsidR="00D5729D" w:rsidRPr="00D5729D" w:rsidRDefault="00D5729D" w:rsidP="00D5729D">
      <w:pPr>
        <w:spacing w:after="120"/>
        <w:jc w:val="both"/>
        <w:rPr>
          <w:rFonts w:ascii="Garamond" w:hAnsi="Garamond"/>
          <w:b/>
        </w:rPr>
      </w:pPr>
      <w:r w:rsidRPr="00D5729D">
        <w:rPr>
          <w:rFonts w:ascii="Garamond" w:hAnsi="Garamond"/>
          <w:b/>
          <w:noProof/>
          <w:lang w:val="en-CA" w:eastAsia="zh-CN"/>
        </w:rPr>
        <w:drawing>
          <wp:inline distT="0" distB="0" distL="0" distR="0" wp14:anchorId="05C05BCE" wp14:editId="3F8E9998">
            <wp:extent cx="2417171" cy="2894665"/>
            <wp:effectExtent l="0" t="0" r="2540" b="1270"/>
            <wp:docPr id="1" name="Picture 1" title="Figure 1 Flow charts for data search and exclusive 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31163" cy="2911421"/>
                    </a:xfrm>
                    <a:prstGeom prst="rect">
                      <a:avLst/>
                    </a:prstGeom>
                  </pic:spPr>
                </pic:pic>
              </a:graphicData>
            </a:graphic>
          </wp:inline>
        </w:drawing>
      </w:r>
    </w:p>
    <w:p w14:paraId="75C2BB5D" w14:textId="03B098CF" w:rsidR="00284F89" w:rsidRPr="00844964" w:rsidRDefault="00D5729D" w:rsidP="00284F89">
      <w:pPr>
        <w:spacing w:after="120"/>
        <w:jc w:val="both"/>
        <w:rPr>
          <w:rFonts w:ascii="Garamond" w:hAnsi="Garamond"/>
          <w:b/>
          <w:lang w:val="en-GB"/>
        </w:rPr>
      </w:pPr>
      <w:r>
        <w:rPr>
          <w:rFonts w:ascii="Garamond" w:hAnsi="Garamond"/>
          <w:b/>
          <w:lang w:val="en-GB"/>
        </w:rPr>
        <w:t>Data Code</w:t>
      </w:r>
    </w:p>
    <w:p w14:paraId="4AFBEC7F" w14:textId="52E33C53" w:rsidR="009062D1" w:rsidRDefault="002313CB" w:rsidP="009062D1">
      <w:pPr>
        <w:spacing w:after="120"/>
        <w:ind w:firstLine="360"/>
        <w:rPr>
          <w:rFonts w:ascii="Garamond" w:hAnsi="Garamond"/>
          <w:bCs/>
        </w:rPr>
      </w:pPr>
      <w:r w:rsidRPr="002313CB">
        <w:rPr>
          <w:rFonts w:ascii="Garamond" w:hAnsi="Garamond"/>
          <w:bCs/>
        </w:rPr>
        <w:t>For Aim 1, we recorded sample sizes and sample characteristics.</w:t>
      </w:r>
      <w:r>
        <w:rPr>
          <w:rFonts w:ascii="Garamond" w:hAnsi="Garamond"/>
          <w:bCs/>
        </w:rPr>
        <w:t xml:space="preserve"> </w:t>
      </w:r>
      <w:r w:rsidR="009062D1" w:rsidRPr="009062D1">
        <w:rPr>
          <w:rFonts w:ascii="Garamond" w:hAnsi="Garamond"/>
          <w:bCs/>
        </w:rPr>
        <w:t xml:space="preserve">For study aim 2, the coding form for validity evidence is based on the </w:t>
      </w:r>
      <w:r w:rsidR="009062D1" w:rsidRPr="009062D1">
        <w:rPr>
          <w:rFonts w:ascii="Garamond" w:hAnsi="Garamond"/>
          <w:bCs/>
          <w:i/>
          <w:iCs/>
        </w:rPr>
        <w:t>Standards</w:t>
      </w:r>
      <w:r w:rsidR="009062D1" w:rsidRPr="009062D1">
        <w:rPr>
          <w:rFonts w:ascii="Garamond" w:hAnsi="Garamond"/>
          <w:bCs/>
        </w:rPr>
        <w:t xml:space="preserve"> (2014), as well as some previous research by Messick (1989), to summarize the validity evidence in the following sources: content, internal structure, relations to other variables, response process and consequences. </w:t>
      </w:r>
    </w:p>
    <w:p w14:paraId="7E0C9DA6" w14:textId="77777777" w:rsidR="009062D1" w:rsidRDefault="009062D1" w:rsidP="009062D1">
      <w:pPr>
        <w:spacing w:after="120"/>
        <w:ind w:firstLine="360"/>
        <w:rPr>
          <w:rFonts w:ascii="Garamond" w:hAnsi="Garamond"/>
          <w:bCs/>
        </w:rPr>
      </w:pPr>
      <w:r w:rsidRPr="009062D1">
        <w:rPr>
          <w:rFonts w:ascii="Garamond" w:hAnsi="Garamond"/>
          <w:bCs/>
        </w:rPr>
        <w:lastRenderedPageBreak/>
        <w:t xml:space="preserve">It is noticeable that, compared with the other three sources, the response process and consequences have relatively fewer attempts in all kinds of validation studies and thus might be harder to identify. To code the response process, we include articles exploring participants' responses (including response time, extreme response style, etc.) for response process evidence. </w:t>
      </w:r>
    </w:p>
    <w:p w14:paraId="486E2431" w14:textId="728E2174" w:rsidR="009062D1" w:rsidRDefault="009062D1" w:rsidP="009062D1">
      <w:pPr>
        <w:spacing w:after="120"/>
        <w:ind w:firstLine="360"/>
        <w:rPr>
          <w:rFonts w:ascii="Garamond" w:hAnsi="Garamond"/>
          <w:bCs/>
        </w:rPr>
      </w:pPr>
      <w:r w:rsidRPr="009062D1">
        <w:rPr>
          <w:rFonts w:ascii="Garamond" w:hAnsi="Garamond"/>
          <w:bCs/>
        </w:rPr>
        <w:t xml:space="preserve">It is harder to identify whether an article used consequences for validity evidence. </w:t>
      </w:r>
      <w:r w:rsidRPr="009062D1">
        <w:rPr>
          <w:rFonts w:ascii="Garamond" w:hAnsi="Garamond"/>
          <w:bCs/>
          <w:i/>
        </w:rPr>
        <w:t>The Standards</w:t>
      </w:r>
      <w:r w:rsidRPr="009062D1">
        <w:rPr>
          <w:rFonts w:ascii="Garamond" w:hAnsi="Garamond"/>
          <w:bCs/>
        </w:rPr>
        <w:t xml:space="preserve"> give some examples for evidence regarding consequences of testing, such as using Differential Item Functioning (DIF) analyses to evaluate test fairness and equity across subgroups, policy impact analysis, etc. We included studies into these categories when they clearly stated they used test score consequences or response processes as validity evidence, or provided source of validity that mentioned in </w:t>
      </w:r>
      <w:r w:rsidRPr="009062D1">
        <w:rPr>
          <w:rFonts w:ascii="Garamond" w:hAnsi="Garamond"/>
          <w:bCs/>
          <w:i/>
        </w:rPr>
        <w:t>the Standards</w:t>
      </w:r>
      <w:r w:rsidRPr="009062D1">
        <w:rPr>
          <w:rFonts w:ascii="Garamond" w:hAnsi="Garamond"/>
          <w:bCs/>
        </w:rPr>
        <w:t>.</w:t>
      </w:r>
    </w:p>
    <w:p w14:paraId="50F0CA5C" w14:textId="7437A0A6" w:rsidR="009062D1" w:rsidRPr="009062D1" w:rsidRDefault="009062D1" w:rsidP="009062D1">
      <w:pPr>
        <w:spacing w:after="120"/>
        <w:ind w:firstLine="360"/>
        <w:rPr>
          <w:rFonts w:ascii="Garamond" w:hAnsi="Garamond"/>
          <w:bCs/>
        </w:rPr>
      </w:pPr>
      <w:r w:rsidRPr="009062D1">
        <w:rPr>
          <w:rFonts w:ascii="Garamond" w:hAnsi="Garamond" w:hint="eastAsia"/>
          <w:bCs/>
        </w:rPr>
        <w:t xml:space="preserve">The code for validity theories is based on the summary in the Introduction part. </w:t>
      </w:r>
      <w:r w:rsidR="002313CB" w:rsidRPr="002313CB">
        <w:rPr>
          <w:rFonts w:ascii="Garamond" w:hAnsi="Garamond"/>
          <w:bCs/>
        </w:rPr>
        <w:t>If an article stated that it followed a validity theory and defined validity and validation, we coded it as ‘Yes’</w:t>
      </w:r>
      <w:r w:rsidR="002313CB">
        <w:rPr>
          <w:rFonts w:ascii="Garamond" w:hAnsi="Garamond"/>
          <w:bCs/>
        </w:rPr>
        <w:t xml:space="preserve">. </w:t>
      </w:r>
      <w:r w:rsidRPr="009062D1">
        <w:rPr>
          <w:rFonts w:ascii="Garamond" w:hAnsi="Garamond" w:hint="eastAsia"/>
          <w:bCs/>
        </w:rPr>
        <w:t xml:space="preserve"> </w:t>
      </w:r>
    </w:p>
    <w:p w14:paraId="1A86089B" w14:textId="77777777" w:rsidR="009D6ABE" w:rsidRDefault="009D6ABE" w:rsidP="009D6ABE">
      <w:pPr>
        <w:spacing w:after="120"/>
        <w:rPr>
          <w:rFonts w:ascii="Garamond" w:eastAsia="Calibri" w:hAnsi="Garamond" w:cs="Arial"/>
          <w:b/>
          <w:bCs/>
          <w:color w:val="891D1D"/>
          <w:sz w:val="28"/>
          <w:szCs w:val="28"/>
        </w:rPr>
      </w:pPr>
    </w:p>
    <w:p w14:paraId="512B8413" w14:textId="03E3596F" w:rsidR="009D6ABE" w:rsidRPr="001C64BC" w:rsidRDefault="009062D1" w:rsidP="009D6ABE">
      <w:pPr>
        <w:spacing w:after="120"/>
        <w:rPr>
          <w:rFonts w:ascii="Garamond" w:hAnsi="Garamond"/>
          <w:bCs/>
          <w:color w:val="891D1D"/>
          <w:sz w:val="20"/>
          <w:szCs w:val="20"/>
        </w:rPr>
      </w:pPr>
      <w:r>
        <w:rPr>
          <w:rFonts w:ascii="Garamond" w:eastAsia="Calibri" w:hAnsi="Garamond" w:cs="Arial"/>
          <w:b/>
          <w:bCs/>
          <w:color w:val="891D1D"/>
          <w:sz w:val="28"/>
          <w:szCs w:val="28"/>
        </w:rPr>
        <w:t>Results</w:t>
      </w:r>
    </w:p>
    <w:p w14:paraId="76F3E7FA" w14:textId="70BE99DC" w:rsidR="00CC226D" w:rsidRPr="009D6ABE" w:rsidRDefault="009062D1" w:rsidP="009062D1">
      <w:pPr>
        <w:spacing w:after="120"/>
        <w:ind w:firstLine="360"/>
        <w:jc w:val="both"/>
        <w:rPr>
          <w:rFonts w:ascii="Garamond" w:hAnsi="Garamond"/>
          <w:bCs/>
        </w:rPr>
      </w:pPr>
      <w:r w:rsidRPr="009062D1">
        <w:rPr>
          <w:rFonts w:ascii="Garamond" w:hAnsi="Garamond" w:hint="eastAsia"/>
          <w:bCs/>
        </w:rPr>
        <w:t>The results are summarized by the three aims of the study. To iterate, they are: 1) investigating the sample characteristics for the SII in papers published in recent years; 2) examining the validity theories they adopted and, 3) collecting validity evidence they reported.</w:t>
      </w:r>
      <w:r w:rsidRPr="009062D1">
        <w:rPr>
          <w:rFonts w:ascii="Garamond" w:hAnsi="Garamond"/>
          <w:bCs/>
        </w:rPr>
        <w:t xml:space="preserve"> Table 1 shows the different sample characteristics and validity theories used in each </w:t>
      </w:r>
      <w:r w:rsidR="00EC4BFA" w:rsidRPr="009062D1">
        <w:rPr>
          <w:rFonts w:ascii="Garamond" w:hAnsi="Garamond"/>
          <w:bCs/>
        </w:rPr>
        <w:t>study</w:t>
      </w:r>
      <w:r w:rsidRPr="009062D1">
        <w:rPr>
          <w:rFonts w:ascii="Garamond" w:hAnsi="Garamond"/>
          <w:bCs/>
        </w:rPr>
        <w:t xml:space="preserve">, and the types of validity </w:t>
      </w:r>
      <w:r w:rsidR="00EC4BFA" w:rsidRPr="009062D1">
        <w:rPr>
          <w:rFonts w:ascii="Garamond" w:hAnsi="Garamond"/>
          <w:bCs/>
        </w:rPr>
        <w:t>evidence</w:t>
      </w:r>
      <w:r w:rsidRPr="009062D1">
        <w:rPr>
          <w:rFonts w:ascii="Garamond" w:hAnsi="Garamond"/>
          <w:bCs/>
        </w:rPr>
        <w:t xml:space="preserve"> they provided. Table 2 shows the research purposes and the intended interpretation and use for SII scores in all the studies. </w:t>
      </w:r>
    </w:p>
    <w:p w14:paraId="25DEC628" w14:textId="77777777" w:rsidR="004D655C" w:rsidRDefault="004D655C" w:rsidP="009D6ABE">
      <w:pPr>
        <w:spacing w:after="120"/>
        <w:jc w:val="both"/>
        <w:rPr>
          <w:rFonts w:ascii="Garamond" w:hAnsi="Garamond"/>
          <w:b/>
          <w:lang w:val="en-GB"/>
        </w:rPr>
      </w:pPr>
    </w:p>
    <w:p w14:paraId="21AFAE58" w14:textId="14F247D5" w:rsidR="009D6ABE" w:rsidRPr="009062D1" w:rsidRDefault="009062D1" w:rsidP="009D6ABE">
      <w:pPr>
        <w:spacing w:after="120"/>
        <w:jc w:val="both"/>
        <w:rPr>
          <w:rFonts w:ascii="Garamond" w:hAnsi="Garamond"/>
          <w:b/>
          <w:bCs/>
        </w:rPr>
      </w:pPr>
      <w:r w:rsidRPr="009062D1">
        <w:rPr>
          <w:rFonts w:ascii="Garamond" w:hAnsi="Garamond" w:hint="eastAsia"/>
          <w:b/>
          <w:bCs/>
        </w:rPr>
        <w:t>Study Aim 1: Sample Characteristics</w:t>
      </w:r>
    </w:p>
    <w:p w14:paraId="65D76D12" w14:textId="7CCBA44A" w:rsidR="009062D1" w:rsidRPr="009062D1" w:rsidRDefault="009062D1" w:rsidP="009062D1">
      <w:pPr>
        <w:spacing w:after="120"/>
        <w:ind w:firstLine="360"/>
        <w:jc w:val="both"/>
        <w:rPr>
          <w:rFonts w:ascii="Garamond" w:hAnsi="Garamond"/>
          <w:bCs/>
        </w:rPr>
      </w:pPr>
      <w:r w:rsidRPr="009062D1">
        <w:rPr>
          <w:rFonts w:ascii="Garamond" w:hAnsi="Garamond" w:hint="eastAsia"/>
          <w:bCs/>
        </w:rPr>
        <w:t xml:space="preserve">In summary, there are three kinds of </w:t>
      </w:r>
      <w:r w:rsidRPr="009062D1">
        <w:rPr>
          <w:rFonts w:ascii="Garamond" w:hAnsi="Garamond"/>
          <w:bCs/>
        </w:rPr>
        <w:t>samples</w:t>
      </w:r>
      <w:r w:rsidRPr="009062D1">
        <w:rPr>
          <w:rFonts w:ascii="Garamond" w:hAnsi="Garamond" w:hint="eastAsia"/>
          <w:bCs/>
        </w:rPr>
        <w:t xml:space="preserve"> used in previous literature: 1) general adults (n = </w:t>
      </w:r>
      <w:r w:rsidRPr="009062D1">
        <w:rPr>
          <w:rFonts w:ascii="Garamond" w:hAnsi="Garamond"/>
          <w:bCs/>
        </w:rPr>
        <w:t>3</w:t>
      </w:r>
      <w:r w:rsidRPr="009062D1">
        <w:rPr>
          <w:rFonts w:ascii="Garamond" w:hAnsi="Garamond" w:hint="eastAsia"/>
          <w:bCs/>
        </w:rPr>
        <w:t xml:space="preserve">), 2) college </w:t>
      </w:r>
      <w:r w:rsidRPr="009062D1">
        <w:rPr>
          <w:rFonts w:ascii="Garamond" w:hAnsi="Garamond"/>
          <w:bCs/>
        </w:rPr>
        <w:t xml:space="preserve">or high school </w:t>
      </w:r>
      <w:r w:rsidRPr="009062D1">
        <w:rPr>
          <w:rFonts w:ascii="Garamond" w:hAnsi="Garamond" w:hint="eastAsia"/>
          <w:bCs/>
        </w:rPr>
        <w:t xml:space="preserve">students (n = 10) and 3) employed adults (n = </w:t>
      </w:r>
      <w:r w:rsidRPr="009062D1">
        <w:rPr>
          <w:rFonts w:ascii="Garamond" w:hAnsi="Garamond"/>
          <w:bCs/>
        </w:rPr>
        <w:t>6</w:t>
      </w:r>
      <w:r w:rsidRPr="009062D1">
        <w:rPr>
          <w:rFonts w:ascii="Garamond" w:hAnsi="Garamond" w:hint="eastAsia"/>
          <w:bCs/>
        </w:rPr>
        <w:t>). Donnay et al</w:t>
      </w:r>
      <w:r w:rsidR="002313CB">
        <w:rPr>
          <w:rFonts w:ascii="Garamond" w:hAnsi="Garamond"/>
          <w:bCs/>
        </w:rPr>
        <w:t>.</w:t>
      </w:r>
      <w:r w:rsidRPr="009062D1">
        <w:rPr>
          <w:rFonts w:ascii="Garamond" w:hAnsi="Garamond" w:hint="eastAsia"/>
          <w:bCs/>
        </w:rPr>
        <w:t xml:space="preserve"> (2004) provided a sample from the workforce, with an equal number of different gender and </w:t>
      </w:r>
      <w:r w:rsidRPr="009062D1">
        <w:rPr>
          <w:rFonts w:ascii="Garamond" w:hAnsi="Garamond"/>
          <w:bCs/>
        </w:rPr>
        <w:t>ethnic</w:t>
      </w:r>
      <w:r w:rsidRPr="009062D1">
        <w:rPr>
          <w:rFonts w:ascii="Garamond" w:hAnsi="Garamond" w:hint="eastAsia"/>
          <w:bCs/>
        </w:rPr>
        <w:t xml:space="preserve"> groups. This sample </w:t>
      </w:r>
      <w:r w:rsidRPr="009062D1">
        <w:rPr>
          <w:rFonts w:ascii="Garamond" w:hAnsi="Garamond"/>
          <w:bCs/>
        </w:rPr>
        <w:t>was</w:t>
      </w:r>
      <w:r w:rsidRPr="009062D1">
        <w:rPr>
          <w:rFonts w:ascii="Garamond" w:hAnsi="Garamond" w:hint="eastAsia"/>
          <w:bCs/>
        </w:rPr>
        <w:t xml:space="preserve"> used for the first reliability and validity analysis and can be </w:t>
      </w:r>
      <w:r w:rsidRPr="009062D1">
        <w:rPr>
          <w:rFonts w:ascii="Garamond" w:hAnsi="Garamond"/>
          <w:bCs/>
        </w:rPr>
        <w:t>accessed</w:t>
      </w:r>
      <w:r w:rsidRPr="009062D1">
        <w:rPr>
          <w:rFonts w:ascii="Garamond" w:hAnsi="Garamond" w:hint="eastAsia"/>
          <w:bCs/>
        </w:rPr>
        <w:t xml:space="preserve"> based on </w:t>
      </w:r>
      <w:r w:rsidRPr="009062D1">
        <w:rPr>
          <w:rFonts w:ascii="Garamond" w:hAnsi="Garamond"/>
          <w:bCs/>
        </w:rPr>
        <w:t>inquiry</w:t>
      </w:r>
      <w:r w:rsidRPr="009062D1">
        <w:rPr>
          <w:rFonts w:ascii="Garamond" w:hAnsi="Garamond" w:hint="eastAsia"/>
          <w:bCs/>
        </w:rPr>
        <w:t xml:space="preserve">. This so-called </w:t>
      </w:r>
      <w:r w:rsidRPr="009062D1">
        <w:rPr>
          <w:rFonts w:ascii="Garamond" w:hAnsi="Garamond"/>
          <w:bCs/>
        </w:rPr>
        <w:t>General Representative Sample</w:t>
      </w:r>
      <w:r w:rsidRPr="009062D1">
        <w:rPr>
          <w:rFonts w:ascii="Garamond" w:hAnsi="Garamond" w:hint="eastAsia"/>
          <w:bCs/>
        </w:rPr>
        <w:t xml:space="preserve"> was also used in the following studies (</w:t>
      </w:r>
      <w:r w:rsidRPr="009062D1">
        <w:rPr>
          <w:rFonts w:ascii="Garamond" w:hAnsi="Garamond"/>
          <w:bCs/>
        </w:rPr>
        <w:t>Kantamneni, 2014</w:t>
      </w:r>
      <w:r w:rsidRPr="009062D1">
        <w:rPr>
          <w:rFonts w:ascii="Garamond" w:hAnsi="Garamond" w:hint="eastAsia"/>
          <w:bCs/>
        </w:rPr>
        <w:t xml:space="preserve">; </w:t>
      </w:r>
      <w:r w:rsidRPr="009062D1">
        <w:rPr>
          <w:rFonts w:ascii="Garamond" w:hAnsi="Garamond"/>
          <w:bCs/>
        </w:rPr>
        <w:t>Kantamneni &amp; Fouad, 2011</w:t>
      </w:r>
      <w:r w:rsidRPr="009062D1">
        <w:rPr>
          <w:rFonts w:ascii="Garamond" w:hAnsi="Garamond" w:hint="eastAsia"/>
          <w:bCs/>
        </w:rPr>
        <w:t xml:space="preserve">; </w:t>
      </w:r>
      <w:r w:rsidRPr="009062D1">
        <w:rPr>
          <w:rFonts w:ascii="Garamond" w:hAnsi="Garamond"/>
          <w:bCs/>
        </w:rPr>
        <w:t>Morris, 2016</w:t>
      </w:r>
      <w:r w:rsidRPr="009062D1">
        <w:rPr>
          <w:rFonts w:ascii="Garamond" w:hAnsi="Garamond" w:hint="eastAsia"/>
          <w:bCs/>
        </w:rPr>
        <w:t>). Other studies recruited volunteers as participants, from work</w:t>
      </w:r>
      <w:r w:rsidR="002313CB">
        <w:rPr>
          <w:rFonts w:ascii="Garamond" w:hAnsi="Garamond"/>
          <w:bCs/>
        </w:rPr>
        <w:t>place</w:t>
      </w:r>
      <w:r w:rsidRPr="009062D1">
        <w:rPr>
          <w:rFonts w:ascii="Garamond" w:hAnsi="Garamond" w:hint="eastAsia"/>
          <w:bCs/>
        </w:rPr>
        <w:t xml:space="preserve"> or college. </w:t>
      </w:r>
    </w:p>
    <w:p w14:paraId="0E3BF980" w14:textId="317BD9B2" w:rsidR="009062D1" w:rsidRPr="009062D1" w:rsidRDefault="009062D1" w:rsidP="009062D1">
      <w:pPr>
        <w:spacing w:after="120"/>
        <w:jc w:val="both"/>
        <w:rPr>
          <w:rFonts w:ascii="Garamond" w:hAnsi="Garamond"/>
          <w:b/>
          <w:bCs/>
        </w:rPr>
      </w:pPr>
      <w:r w:rsidRPr="009062D1">
        <w:rPr>
          <w:rFonts w:ascii="Garamond" w:hAnsi="Garamond" w:hint="eastAsia"/>
          <w:b/>
          <w:bCs/>
        </w:rPr>
        <w:t xml:space="preserve">Study Aim </w:t>
      </w:r>
      <w:r>
        <w:rPr>
          <w:rFonts w:ascii="Garamond" w:hAnsi="Garamond"/>
          <w:b/>
          <w:bCs/>
        </w:rPr>
        <w:t>2</w:t>
      </w:r>
      <w:r w:rsidRPr="009062D1">
        <w:rPr>
          <w:rFonts w:ascii="Garamond" w:hAnsi="Garamond" w:hint="eastAsia"/>
          <w:b/>
          <w:bCs/>
        </w:rPr>
        <w:t xml:space="preserve">: </w:t>
      </w:r>
      <w:r>
        <w:rPr>
          <w:rFonts w:ascii="Garamond" w:hAnsi="Garamond"/>
          <w:b/>
          <w:bCs/>
        </w:rPr>
        <w:t>Validity Theories</w:t>
      </w:r>
    </w:p>
    <w:p w14:paraId="614F276F" w14:textId="77777777" w:rsidR="009062D1" w:rsidRPr="009062D1" w:rsidRDefault="009062D1" w:rsidP="009062D1">
      <w:pPr>
        <w:spacing w:after="120"/>
        <w:ind w:firstLine="360"/>
        <w:jc w:val="both"/>
        <w:rPr>
          <w:rFonts w:ascii="Garamond" w:hAnsi="Garamond"/>
          <w:bCs/>
        </w:rPr>
      </w:pPr>
      <w:r w:rsidRPr="009062D1">
        <w:rPr>
          <w:rFonts w:ascii="Garamond" w:hAnsi="Garamond" w:hint="eastAsia"/>
          <w:bCs/>
        </w:rPr>
        <w:t xml:space="preserve">Given the truth that many validation </w:t>
      </w:r>
      <w:r w:rsidRPr="009062D1">
        <w:rPr>
          <w:rFonts w:ascii="Garamond" w:hAnsi="Garamond"/>
          <w:bCs/>
        </w:rPr>
        <w:t>studies</w:t>
      </w:r>
      <w:r w:rsidRPr="009062D1">
        <w:rPr>
          <w:rFonts w:ascii="Garamond" w:hAnsi="Garamond" w:hint="eastAsia"/>
          <w:bCs/>
        </w:rPr>
        <w:t xml:space="preserve"> never give a framework to justify their approaches to validation (</w:t>
      </w:r>
      <w:r w:rsidRPr="009062D1">
        <w:rPr>
          <w:rFonts w:ascii="Garamond" w:hAnsi="Garamond"/>
          <w:bCs/>
        </w:rPr>
        <w:t>Shear &amp; Zumbo, 2014</w:t>
      </w:r>
      <w:r w:rsidRPr="009062D1">
        <w:rPr>
          <w:rFonts w:ascii="Garamond" w:hAnsi="Garamond" w:hint="eastAsia"/>
          <w:bCs/>
        </w:rPr>
        <w:t xml:space="preserve">; Zumbo, 2023), it </w:t>
      </w:r>
      <w:r w:rsidRPr="009062D1">
        <w:rPr>
          <w:rFonts w:ascii="Garamond" w:hAnsi="Garamond"/>
          <w:bCs/>
        </w:rPr>
        <w:t>is not surprising</w:t>
      </w:r>
      <w:r w:rsidRPr="009062D1">
        <w:rPr>
          <w:rFonts w:ascii="Garamond" w:hAnsi="Garamond" w:hint="eastAsia"/>
          <w:bCs/>
        </w:rPr>
        <w:t xml:space="preserve"> to see a scarcity in indicating their validation framework in these studies. Only three studies briefly talked about the definition of validity and validation </w:t>
      </w:r>
      <w:r w:rsidRPr="009062D1">
        <w:rPr>
          <w:rFonts w:ascii="Garamond" w:hAnsi="Garamond"/>
          <w:bCs/>
        </w:rPr>
        <w:t xml:space="preserve">and </w:t>
      </w:r>
      <w:r w:rsidRPr="009062D1">
        <w:rPr>
          <w:rFonts w:ascii="Garamond" w:hAnsi="Garamond" w:hint="eastAsia"/>
          <w:bCs/>
        </w:rPr>
        <w:t xml:space="preserve">referred to the </w:t>
      </w:r>
      <w:r w:rsidRPr="009062D1">
        <w:rPr>
          <w:rFonts w:ascii="Garamond" w:hAnsi="Garamond" w:hint="eastAsia"/>
          <w:bCs/>
          <w:i/>
          <w:iCs/>
        </w:rPr>
        <w:t>Standards</w:t>
      </w:r>
      <w:r w:rsidRPr="009062D1">
        <w:rPr>
          <w:rFonts w:ascii="Garamond" w:hAnsi="Garamond" w:hint="eastAsia"/>
          <w:bCs/>
        </w:rPr>
        <w:t xml:space="preserve">, but none of them mentioned their view of validity and how they would build the validation plan. Most of them just claimed that previous studies also used some typical approaches of validation (e.g., showing correlation coefficients for convergent/discriminant validity), and then directly </w:t>
      </w:r>
      <w:r w:rsidRPr="009062D1">
        <w:rPr>
          <w:rFonts w:ascii="Garamond" w:hAnsi="Garamond"/>
          <w:bCs/>
        </w:rPr>
        <w:t>represented</w:t>
      </w:r>
      <w:r w:rsidRPr="009062D1">
        <w:rPr>
          <w:rFonts w:ascii="Garamond" w:hAnsi="Garamond" w:hint="eastAsia"/>
          <w:bCs/>
        </w:rPr>
        <w:t xml:space="preserve"> their validity evidence. </w:t>
      </w:r>
    </w:p>
    <w:p w14:paraId="455C286B" w14:textId="148B90A2" w:rsidR="004D655C" w:rsidRPr="000113BB" w:rsidRDefault="009062D1" w:rsidP="004D655C">
      <w:pPr>
        <w:spacing w:after="120"/>
        <w:jc w:val="both"/>
        <w:rPr>
          <w:rFonts w:ascii="Garamond" w:hAnsi="Garamond"/>
          <w:bCs/>
        </w:rPr>
      </w:pPr>
      <w:r w:rsidRPr="009062D1">
        <w:rPr>
          <w:rFonts w:ascii="Garamond" w:hAnsi="Garamond" w:hint="eastAsia"/>
          <w:b/>
          <w:bCs/>
        </w:rPr>
        <w:t>Study Aim 3:</w:t>
      </w:r>
      <w:r w:rsidRPr="009062D1">
        <w:rPr>
          <w:rFonts w:ascii="Garamond" w:hAnsi="Garamond"/>
          <w:b/>
          <w:bCs/>
        </w:rPr>
        <w:t xml:space="preserve"> Validity </w:t>
      </w:r>
      <w:r w:rsidRPr="009062D1">
        <w:rPr>
          <w:rFonts w:ascii="Garamond" w:hAnsi="Garamond" w:hint="eastAsia"/>
          <w:b/>
          <w:bCs/>
        </w:rPr>
        <w:t>Evidence</w:t>
      </w:r>
    </w:p>
    <w:p w14:paraId="4C8D579A" w14:textId="2C4F1986" w:rsidR="008D4287" w:rsidRPr="009062D1" w:rsidRDefault="009062D1" w:rsidP="008D4287">
      <w:pPr>
        <w:spacing w:after="120"/>
        <w:jc w:val="both"/>
        <w:rPr>
          <w:rFonts w:ascii="Garamond" w:hAnsi="Garamond"/>
          <w:bCs/>
          <w:lang w:val="en-CA"/>
        </w:rPr>
      </w:pPr>
      <w:r w:rsidRPr="009062D1">
        <w:rPr>
          <w:rFonts w:ascii="Garamond" w:hAnsi="Garamond"/>
          <w:bCs/>
        </w:rPr>
        <w:t>In previous validation studies on SII, the most widely used validity evidence is relations to other variables</w:t>
      </w:r>
      <w:r w:rsidR="000113BB">
        <w:rPr>
          <w:rFonts w:ascii="Garamond" w:hAnsi="Garamond"/>
          <w:bCs/>
        </w:rPr>
        <w:t xml:space="preserve"> </w:t>
      </w:r>
      <w:r w:rsidRPr="009062D1">
        <w:rPr>
          <w:rFonts w:ascii="Garamond" w:hAnsi="Garamond"/>
          <w:bCs/>
        </w:rPr>
        <w:t xml:space="preserve">(n = </w:t>
      </w:r>
      <w:r w:rsidR="001655D7">
        <w:rPr>
          <w:rFonts w:ascii="Garamond" w:hAnsi="Garamond"/>
          <w:bCs/>
        </w:rPr>
        <w:t>19</w:t>
      </w:r>
      <w:r w:rsidRPr="009062D1">
        <w:rPr>
          <w:rFonts w:ascii="Garamond" w:hAnsi="Garamond"/>
          <w:bCs/>
        </w:rPr>
        <w:t>). There are two types of evidence under this category: test-criterion relationships and convergent/discriminant validity. People usually use interest inventories to make long-term decisions, such</w:t>
      </w:r>
      <w:r w:rsidR="008D4287">
        <w:rPr>
          <w:rFonts w:ascii="Garamond" w:hAnsi="Garamond"/>
          <w:bCs/>
        </w:rPr>
        <w:t xml:space="preserve"> </w:t>
      </w:r>
      <w:r w:rsidR="008D4287">
        <w:rPr>
          <w:rFonts w:ascii="Garamond" w:hAnsi="Garamond"/>
          <w:bCs/>
        </w:rPr>
        <w:t>a</w:t>
      </w:r>
      <w:r w:rsidR="008D4287" w:rsidRPr="009062D1">
        <w:rPr>
          <w:rFonts w:ascii="Garamond" w:hAnsi="Garamond"/>
          <w:bCs/>
        </w:rPr>
        <w:t xml:space="preserve">s choosing a college major or deciding whether to employ a person, it is necessary to check its test-criterion </w:t>
      </w:r>
      <w:r w:rsidR="008D4287" w:rsidRPr="009062D1">
        <w:rPr>
          <w:rFonts w:ascii="Garamond" w:hAnsi="Garamond"/>
          <w:bCs/>
          <w:lang w:val="en-CA"/>
        </w:rPr>
        <w:t xml:space="preserve">correlations, more precisely, the predictive validity. Thirteen of the collected studies explored predictive validity and ten of them explored concurrent validity. Fewer studies focus on the discriminant and convergent validity (n = </w:t>
      </w:r>
      <w:r w:rsidR="008D4287">
        <w:rPr>
          <w:rFonts w:ascii="Garamond" w:hAnsi="Garamond"/>
          <w:bCs/>
          <w:lang w:val="en-CA"/>
        </w:rPr>
        <w:t>4</w:t>
      </w:r>
      <w:r w:rsidR="008D4287" w:rsidRPr="009062D1">
        <w:rPr>
          <w:rFonts w:ascii="Garamond" w:hAnsi="Garamond"/>
          <w:bCs/>
          <w:lang w:val="en-CA"/>
        </w:rPr>
        <w:t xml:space="preserve">). There are </w:t>
      </w:r>
      <w:r w:rsidR="008D4287">
        <w:rPr>
          <w:rFonts w:ascii="Garamond" w:hAnsi="Garamond"/>
          <w:bCs/>
          <w:lang w:val="en-CA"/>
        </w:rPr>
        <w:t>6</w:t>
      </w:r>
      <w:r w:rsidR="008D4287" w:rsidRPr="009062D1">
        <w:rPr>
          <w:rFonts w:ascii="Garamond" w:hAnsi="Garamond"/>
          <w:bCs/>
          <w:lang w:val="en-CA"/>
        </w:rPr>
        <w:t xml:space="preserve"> studies that explored the internal structure as validity evidence, and </w:t>
      </w:r>
    </w:p>
    <w:p w14:paraId="493844DB" w14:textId="65669AD7" w:rsidR="000113BB" w:rsidRDefault="000113BB" w:rsidP="009062D1">
      <w:pPr>
        <w:spacing w:after="120"/>
        <w:ind w:firstLine="360"/>
        <w:jc w:val="both"/>
        <w:rPr>
          <w:rFonts w:ascii="Garamond" w:hAnsi="Garamond"/>
          <w:bCs/>
        </w:rPr>
        <w:sectPr w:rsidR="000113BB" w:rsidSect="00EC4BFA">
          <w:headerReference w:type="default" r:id="rId12"/>
          <w:footerReference w:type="first" r:id="rId13"/>
          <w:pgSz w:w="12240" w:h="15840"/>
          <w:pgMar w:top="1152" w:right="1152" w:bottom="1152" w:left="1152" w:header="720" w:footer="720" w:gutter="0"/>
          <w:cols w:space="720"/>
          <w:titlePg/>
          <w:docGrid w:linePitch="360"/>
        </w:sectPr>
      </w:pPr>
    </w:p>
    <w:p w14:paraId="009A6E63" w14:textId="2C3C1F50" w:rsidR="000113BB" w:rsidRPr="000113BB" w:rsidRDefault="000113BB" w:rsidP="000113BB">
      <w:pPr>
        <w:spacing w:after="120"/>
        <w:jc w:val="both"/>
        <w:rPr>
          <w:rFonts w:ascii="Garamond" w:hAnsi="Garamond"/>
          <w:b/>
          <w:bCs/>
          <w:iCs/>
          <w:lang w:val="en-CA"/>
        </w:rPr>
      </w:pPr>
      <w:r w:rsidRPr="000113BB">
        <w:rPr>
          <w:rFonts w:ascii="Garamond" w:hAnsi="Garamond"/>
          <w:b/>
          <w:bCs/>
          <w:iCs/>
          <w:lang w:val="en-CA"/>
        </w:rPr>
        <w:lastRenderedPageBreak/>
        <w:t xml:space="preserve">Table </w:t>
      </w:r>
      <w:r w:rsidRPr="000113BB">
        <w:rPr>
          <w:rFonts w:ascii="Garamond" w:hAnsi="Garamond"/>
          <w:b/>
          <w:bCs/>
          <w:iCs/>
          <w:lang w:val="en-CA"/>
        </w:rPr>
        <w:fldChar w:fldCharType="begin"/>
      </w:r>
      <w:r w:rsidRPr="000113BB">
        <w:rPr>
          <w:rFonts w:ascii="Garamond" w:hAnsi="Garamond"/>
          <w:b/>
          <w:bCs/>
          <w:iCs/>
          <w:lang w:val="en-CA"/>
        </w:rPr>
        <w:instrText xml:space="preserve"> SEQ Table \* ARABIC </w:instrText>
      </w:r>
      <w:r w:rsidRPr="000113BB">
        <w:rPr>
          <w:rFonts w:ascii="Garamond" w:hAnsi="Garamond"/>
          <w:b/>
          <w:bCs/>
          <w:iCs/>
          <w:lang w:val="en-CA"/>
        </w:rPr>
        <w:fldChar w:fldCharType="separate"/>
      </w:r>
      <w:r w:rsidRPr="000113BB">
        <w:rPr>
          <w:rFonts w:ascii="Garamond" w:hAnsi="Garamond"/>
          <w:b/>
          <w:bCs/>
          <w:iCs/>
          <w:lang w:val="en-CA"/>
        </w:rPr>
        <w:t>1</w:t>
      </w:r>
      <w:r w:rsidRPr="000113BB">
        <w:rPr>
          <w:rFonts w:ascii="Garamond" w:hAnsi="Garamond"/>
          <w:bCs/>
        </w:rPr>
        <w:fldChar w:fldCharType="end"/>
      </w:r>
      <w:r w:rsidR="003856DA">
        <w:rPr>
          <w:rFonts w:ascii="Garamond" w:hAnsi="Garamond"/>
          <w:b/>
          <w:bCs/>
          <w:iCs/>
          <w:lang w:val="en-CA"/>
        </w:rPr>
        <w:t xml:space="preserve">. </w:t>
      </w:r>
      <w:r w:rsidRPr="000113BB">
        <w:rPr>
          <w:rFonts w:ascii="Garamond" w:hAnsi="Garamond"/>
          <w:bCs/>
          <w:iCs/>
          <w:lang w:val="en-CA"/>
        </w:rPr>
        <w:t xml:space="preserve">Reliability and validity </w:t>
      </w:r>
      <w:r w:rsidR="00EC4BFA" w:rsidRPr="000113BB">
        <w:rPr>
          <w:rFonts w:ascii="Garamond" w:hAnsi="Garamond"/>
          <w:bCs/>
          <w:iCs/>
          <w:lang w:val="en-CA"/>
        </w:rPr>
        <w:t>evidence</w:t>
      </w:r>
      <w:r w:rsidRPr="000113BB">
        <w:rPr>
          <w:rFonts w:ascii="Garamond" w:hAnsi="Garamond"/>
          <w:bCs/>
          <w:iCs/>
          <w:lang w:val="en-CA"/>
        </w:rPr>
        <w:t xml:space="preserve"> across studies</w:t>
      </w:r>
    </w:p>
    <w:tbl>
      <w:tblPr>
        <w:tblW w:w="13590" w:type="dxa"/>
        <w:tblLayout w:type="fixed"/>
        <w:tblLook w:val="04A0" w:firstRow="1" w:lastRow="0" w:firstColumn="1" w:lastColumn="0" w:noHBand="0" w:noVBand="1"/>
        <w:tblCaption w:val="Table 1 Reliability and validity evidences across studies"/>
      </w:tblPr>
      <w:tblGrid>
        <w:gridCol w:w="2070"/>
        <w:gridCol w:w="1800"/>
        <w:gridCol w:w="900"/>
        <w:gridCol w:w="900"/>
        <w:gridCol w:w="1170"/>
        <w:gridCol w:w="900"/>
        <w:gridCol w:w="990"/>
        <w:gridCol w:w="900"/>
        <w:gridCol w:w="900"/>
        <w:gridCol w:w="990"/>
        <w:gridCol w:w="1080"/>
        <w:gridCol w:w="990"/>
      </w:tblGrid>
      <w:tr w:rsidR="003856DA" w:rsidRPr="000113BB" w14:paraId="271956CD" w14:textId="77777777" w:rsidTr="003856DA">
        <w:trPr>
          <w:trHeight w:val="314"/>
        </w:trPr>
        <w:tc>
          <w:tcPr>
            <w:tcW w:w="2070" w:type="dxa"/>
            <w:tcBorders>
              <w:top w:val="single" w:sz="4" w:space="0" w:color="auto"/>
              <w:left w:val="nil"/>
              <w:bottom w:val="nil"/>
              <w:right w:val="nil"/>
            </w:tcBorders>
            <w:hideMark/>
          </w:tcPr>
          <w:p w14:paraId="3F896A9C" w14:textId="77777777" w:rsidR="000113BB" w:rsidRPr="000113BB" w:rsidRDefault="000113BB" w:rsidP="000113BB">
            <w:pPr>
              <w:spacing w:after="120"/>
              <w:jc w:val="center"/>
              <w:rPr>
                <w:rFonts w:ascii="Garamond" w:hAnsi="Garamond"/>
                <w:b/>
                <w:sz w:val="20"/>
                <w:szCs w:val="20"/>
                <w:lang w:val="en-CA"/>
              </w:rPr>
            </w:pPr>
            <w:r w:rsidRPr="000113BB">
              <w:rPr>
                <w:rFonts w:ascii="Garamond" w:hAnsi="Garamond"/>
                <w:b/>
                <w:sz w:val="20"/>
                <w:szCs w:val="20"/>
                <w:lang w:val="en-CA"/>
              </w:rPr>
              <w:t>Author, Year</w:t>
            </w:r>
          </w:p>
        </w:tc>
        <w:tc>
          <w:tcPr>
            <w:tcW w:w="1800" w:type="dxa"/>
            <w:tcBorders>
              <w:top w:val="single" w:sz="4" w:space="0" w:color="auto"/>
              <w:left w:val="nil"/>
              <w:bottom w:val="nil"/>
              <w:right w:val="nil"/>
            </w:tcBorders>
            <w:hideMark/>
          </w:tcPr>
          <w:p w14:paraId="15CBC7AE" w14:textId="77777777" w:rsidR="000113BB" w:rsidRPr="000113BB" w:rsidRDefault="000113BB" w:rsidP="000113BB">
            <w:pPr>
              <w:spacing w:after="120"/>
              <w:jc w:val="center"/>
              <w:rPr>
                <w:rFonts w:ascii="Garamond" w:hAnsi="Garamond"/>
                <w:b/>
                <w:sz w:val="20"/>
                <w:szCs w:val="20"/>
                <w:lang w:val="en-CA"/>
              </w:rPr>
            </w:pPr>
            <w:r w:rsidRPr="000113BB">
              <w:rPr>
                <w:rFonts w:ascii="Garamond" w:hAnsi="Garamond"/>
                <w:b/>
                <w:sz w:val="20"/>
                <w:szCs w:val="20"/>
                <w:lang w:val="en-CA"/>
              </w:rPr>
              <w:t>Sample characteristics</w:t>
            </w:r>
          </w:p>
        </w:tc>
        <w:tc>
          <w:tcPr>
            <w:tcW w:w="900" w:type="dxa"/>
            <w:tcBorders>
              <w:top w:val="single" w:sz="4" w:space="0" w:color="auto"/>
              <w:left w:val="nil"/>
              <w:bottom w:val="nil"/>
              <w:right w:val="nil"/>
            </w:tcBorders>
            <w:hideMark/>
          </w:tcPr>
          <w:p w14:paraId="45B81775" w14:textId="77777777" w:rsidR="000113BB" w:rsidRPr="000113BB" w:rsidRDefault="000113BB" w:rsidP="000113BB">
            <w:pPr>
              <w:spacing w:after="120"/>
              <w:jc w:val="center"/>
              <w:rPr>
                <w:rFonts w:ascii="Garamond" w:hAnsi="Garamond"/>
                <w:b/>
                <w:sz w:val="20"/>
                <w:szCs w:val="20"/>
                <w:lang w:val="en-CA"/>
              </w:rPr>
            </w:pPr>
            <w:r w:rsidRPr="000113BB">
              <w:rPr>
                <w:rFonts w:ascii="Garamond" w:hAnsi="Garamond"/>
                <w:b/>
                <w:sz w:val="20"/>
                <w:szCs w:val="20"/>
                <w:lang w:val="en-CA"/>
              </w:rPr>
              <w:t>Sample size</w:t>
            </w:r>
          </w:p>
        </w:tc>
        <w:tc>
          <w:tcPr>
            <w:tcW w:w="900" w:type="dxa"/>
            <w:tcBorders>
              <w:top w:val="single" w:sz="4" w:space="0" w:color="auto"/>
              <w:left w:val="nil"/>
              <w:bottom w:val="nil"/>
              <w:right w:val="nil"/>
            </w:tcBorders>
            <w:hideMark/>
          </w:tcPr>
          <w:p w14:paraId="4268B4A7" w14:textId="77777777" w:rsidR="000113BB" w:rsidRPr="000113BB" w:rsidRDefault="000113BB" w:rsidP="000113BB">
            <w:pPr>
              <w:spacing w:after="120"/>
              <w:jc w:val="center"/>
              <w:rPr>
                <w:rFonts w:ascii="Garamond" w:hAnsi="Garamond"/>
                <w:b/>
                <w:sz w:val="20"/>
                <w:szCs w:val="20"/>
                <w:lang w:val="en-CA"/>
              </w:rPr>
            </w:pPr>
            <w:r w:rsidRPr="000113BB">
              <w:rPr>
                <w:rFonts w:ascii="Garamond" w:hAnsi="Garamond"/>
                <w:b/>
                <w:sz w:val="20"/>
                <w:szCs w:val="20"/>
                <w:lang w:val="en-CA"/>
              </w:rPr>
              <w:t>Validity theory</w:t>
            </w:r>
          </w:p>
        </w:tc>
        <w:tc>
          <w:tcPr>
            <w:tcW w:w="1170" w:type="dxa"/>
            <w:tcBorders>
              <w:top w:val="single" w:sz="4" w:space="0" w:color="auto"/>
              <w:left w:val="nil"/>
              <w:bottom w:val="nil"/>
              <w:right w:val="nil"/>
            </w:tcBorders>
            <w:hideMark/>
          </w:tcPr>
          <w:p w14:paraId="45E739A4" w14:textId="2F6A0209" w:rsidR="000113BB" w:rsidRPr="000113BB" w:rsidRDefault="000113BB" w:rsidP="000113BB">
            <w:pPr>
              <w:spacing w:after="120"/>
              <w:jc w:val="center"/>
              <w:rPr>
                <w:rFonts w:ascii="Garamond" w:hAnsi="Garamond"/>
                <w:b/>
                <w:sz w:val="20"/>
                <w:szCs w:val="20"/>
                <w:lang w:val="en-CA"/>
              </w:rPr>
            </w:pPr>
            <w:r w:rsidRPr="000113BB">
              <w:rPr>
                <w:rFonts w:ascii="Garamond" w:hAnsi="Garamond"/>
                <w:b/>
                <w:sz w:val="20"/>
                <w:szCs w:val="20"/>
                <w:lang w:val="en-CA"/>
              </w:rPr>
              <w:t>Reliability</w:t>
            </w:r>
          </w:p>
        </w:tc>
        <w:tc>
          <w:tcPr>
            <w:tcW w:w="6750" w:type="dxa"/>
            <w:gridSpan w:val="7"/>
            <w:tcBorders>
              <w:top w:val="single" w:sz="4" w:space="0" w:color="auto"/>
              <w:left w:val="nil"/>
              <w:bottom w:val="single" w:sz="4" w:space="0" w:color="auto"/>
              <w:right w:val="nil"/>
            </w:tcBorders>
            <w:hideMark/>
          </w:tcPr>
          <w:p w14:paraId="529B33A6" w14:textId="77777777" w:rsidR="000113BB" w:rsidRPr="000113BB" w:rsidRDefault="000113BB" w:rsidP="000113BB">
            <w:pPr>
              <w:spacing w:after="120"/>
              <w:jc w:val="center"/>
              <w:rPr>
                <w:rFonts w:ascii="Garamond" w:hAnsi="Garamond"/>
                <w:b/>
                <w:sz w:val="20"/>
                <w:szCs w:val="20"/>
                <w:lang w:val="en-CA"/>
              </w:rPr>
            </w:pPr>
            <w:r w:rsidRPr="000113BB">
              <w:rPr>
                <w:rFonts w:ascii="Garamond" w:hAnsi="Garamond"/>
                <w:b/>
                <w:sz w:val="20"/>
                <w:szCs w:val="20"/>
                <w:lang w:val="en-CA"/>
              </w:rPr>
              <w:t>Types of validity evidence</w:t>
            </w:r>
          </w:p>
        </w:tc>
      </w:tr>
      <w:tr w:rsidR="000113BB" w:rsidRPr="003856DA" w14:paraId="0C6854CB" w14:textId="77777777" w:rsidTr="003856DA">
        <w:trPr>
          <w:trHeight w:val="266"/>
        </w:trPr>
        <w:tc>
          <w:tcPr>
            <w:tcW w:w="2070" w:type="dxa"/>
            <w:tcBorders>
              <w:top w:val="nil"/>
              <w:left w:val="nil"/>
              <w:bottom w:val="nil"/>
              <w:right w:val="nil"/>
            </w:tcBorders>
            <w:hideMark/>
          </w:tcPr>
          <w:p w14:paraId="1223B4BE" w14:textId="77777777" w:rsidR="000113BB" w:rsidRPr="000113BB" w:rsidRDefault="000113BB" w:rsidP="000113BB">
            <w:pPr>
              <w:spacing w:after="120"/>
              <w:jc w:val="center"/>
              <w:rPr>
                <w:rFonts w:ascii="Garamond" w:hAnsi="Garamond"/>
                <w:b/>
                <w:sz w:val="20"/>
                <w:szCs w:val="20"/>
                <w:lang w:val="en-CA"/>
              </w:rPr>
            </w:pPr>
          </w:p>
        </w:tc>
        <w:tc>
          <w:tcPr>
            <w:tcW w:w="1800" w:type="dxa"/>
            <w:tcBorders>
              <w:top w:val="nil"/>
              <w:left w:val="nil"/>
              <w:bottom w:val="nil"/>
              <w:right w:val="nil"/>
            </w:tcBorders>
            <w:hideMark/>
          </w:tcPr>
          <w:p w14:paraId="7ED98E53" w14:textId="77777777" w:rsidR="000113BB" w:rsidRPr="000113BB" w:rsidRDefault="000113BB" w:rsidP="000113BB">
            <w:pPr>
              <w:spacing w:after="120"/>
              <w:jc w:val="center"/>
              <w:rPr>
                <w:rFonts w:ascii="Garamond" w:hAnsi="Garamond"/>
                <w:b/>
                <w:sz w:val="20"/>
                <w:szCs w:val="20"/>
                <w:lang w:val="en-CA"/>
              </w:rPr>
            </w:pPr>
          </w:p>
        </w:tc>
        <w:tc>
          <w:tcPr>
            <w:tcW w:w="900" w:type="dxa"/>
            <w:tcBorders>
              <w:top w:val="nil"/>
              <w:left w:val="nil"/>
              <w:bottom w:val="nil"/>
              <w:right w:val="nil"/>
            </w:tcBorders>
            <w:hideMark/>
          </w:tcPr>
          <w:p w14:paraId="7B35F3EB" w14:textId="77777777" w:rsidR="000113BB" w:rsidRPr="000113BB" w:rsidRDefault="000113BB" w:rsidP="000113BB">
            <w:pPr>
              <w:spacing w:after="120"/>
              <w:jc w:val="center"/>
              <w:rPr>
                <w:rFonts w:ascii="Garamond" w:hAnsi="Garamond"/>
                <w:b/>
                <w:sz w:val="20"/>
                <w:szCs w:val="20"/>
                <w:lang w:val="en-CA"/>
              </w:rPr>
            </w:pPr>
          </w:p>
        </w:tc>
        <w:tc>
          <w:tcPr>
            <w:tcW w:w="900" w:type="dxa"/>
            <w:tcBorders>
              <w:top w:val="nil"/>
              <w:left w:val="nil"/>
              <w:bottom w:val="nil"/>
              <w:right w:val="nil"/>
            </w:tcBorders>
            <w:hideMark/>
          </w:tcPr>
          <w:p w14:paraId="5FDB829E" w14:textId="77777777" w:rsidR="000113BB" w:rsidRPr="000113BB" w:rsidRDefault="000113BB" w:rsidP="000113BB">
            <w:pPr>
              <w:spacing w:after="120"/>
              <w:jc w:val="center"/>
              <w:rPr>
                <w:rFonts w:ascii="Garamond" w:hAnsi="Garamond"/>
                <w:b/>
                <w:sz w:val="20"/>
                <w:szCs w:val="20"/>
                <w:lang w:val="en-CA"/>
              </w:rPr>
            </w:pPr>
          </w:p>
        </w:tc>
        <w:tc>
          <w:tcPr>
            <w:tcW w:w="1170" w:type="dxa"/>
            <w:tcBorders>
              <w:top w:val="nil"/>
              <w:left w:val="nil"/>
              <w:bottom w:val="nil"/>
              <w:right w:val="nil"/>
            </w:tcBorders>
            <w:hideMark/>
          </w:tcPr>
          <w:p w14:paraId="032ED82B" w14:textId="77777777" w:rsidR="000113BB" w:rsidRPr="000113BB" w:rsidRDefault="000113BB" w:rsidP="000113BB">
            <w:pPr>
              <w:spacing w:after="120"/>
              <w:jc w:val="center"/>
              <w:rPr>
                <w:rFonts w:ascii="Garamond" w:hAnsi="Garamond"/>
                <w:b/>
                <w:sz w:val="20"/>
                <w:szCs w:val="20"/>
                <w:lang w:val="en-CA"/>
              </w:rPr>
            </w:pPr>
          </w:p>
        </w:tc>
        <w:tc>
          <w:tcPr>
            <w:tcW w:w="900" w:type="dxa"/>
            <w:tcBorders>
              <w:top w:val="single" w:sz="4" w:space="0" w:color="auto"/>
              <w:left w:val="nil"/>
              <w:bottom w:val="nil"/>
              <w:right w:val="nil"/>
            </w:tcBorders>
            <w:hideMark/>
          </w:tcPr>
          <w:p w14:paraId="3727AB42" w14:textId="77777777" w:rsidR="000113BB" w:rsidRPr="000113BB" w:rsidRDefault="000113BB" w:rsidP="000113BB">
            <w:pPr>
              <w:spacing w:after="120"/>
              <w:jc w:val="center"/>
              <w:rPr>
                <w:rFonts w:ascii="Garamond" w:hAnsi="Garamond"/>
                <w:b/>
                <w:sz w:val="20"/>
                <w:szCs w:val="20"/>
                <w:lang w:val="en-CA"/>
              </w:rPr>
            </w:pPr>
            <w:r w:rsidRPr="000113BB">
              <w:rPr>
                <w:rFonts w:ascii="Garamond" w:hAnsi="Garamond"/>
                <w:b/>
                <w:sz w:val="20"/>
                <w:szCs w:val="20"/>
                <w:lang w:val="en-CA"/>
              </w:rPr>
              <w:t>Content</w:t>
            </w:r>
          </w:p>
        </w:tc>
        <w:tc>
          <w:tcPr>
            <w:tcW w:w="990" w:type="dxa"/>
            <w:tcBorders>
              <w:top w:val="single" w:sz="4" w:space="0" w:color="auto"/>
              <w:left w:val="nil"/>
              <w:bottom w:val="nil"/>
              <w:right w:val="nil"/>
            </w:tcBorders>
            <w:hideMark/>
          </w:tcPr>
          <w:p w14:paraId="07E1E151" w14:textId="77777777" w:rsidR="000113BB" w:rsidRPr="000113BB" w:rsidRDefault="000113BB" w:rsidP="000113BB">
            <w:pPr>
              <w:spacing w:after="120"/>
              <w:jc w:val="center"/>
              <w:rPr>
                <w:rFonts w:ascii="Garamond" w:hAnsi="Garamond"/>
                <w:b/>
                <w:sz w:val="20"/>
                <w:szCs w:val="20"/>
                <w:lang w:val="en-CA"/>
              </w:rPr>
            </w:pPr>
            <w:r w:rsidRPr="000113BB">
              <w:rPr>
                <w:rFonts w:ascii="Garamond" w:hAnsi="Garamond"/>
                <w:b/>
                <w:sz w:val="20"/>
                <w:szCs w:val="20"/>
                <w:lang w:val="en-CA"/>
              </w:rPr>
              <w:t>Internal Structure</w:t>
            </w:r>
          </w:p>
        </w:tc>
        <w:tc>
          <w:tcPr>
            <w:tcW w:w="2790" w:type="dxa"/>
            <w:gridSpan w:val="3"/>
            <w:tcBorders>
              <w:top w:val="single" w:sz="4" w:space="0" w:color="auto"/>
              <w:left w:val="nil"/>
              <w:bottom w:val="single" w:sz="4" w:space="0" w:color="auto"/>
              <w:right w:val="nil"/>
            </w:tcBorders>
            <w:hideMark/>
          </w:tcPr>
          <w:p w14:paraId="7F8D9ED6" w14:textId="77777777" w:rsidR="000113BB" w:rsidRPr="000113BB" w:rsidRDefault="000113BB" w:rsidP="000113BB">
            <w:pPr>
              <w:spacing w:after="120"/>
              <w:jc w:val="center"/>
              <w:rPr>
                <w:rFonts w:ascii="Garamond" w:hAnsi="Garamond"/>
                <w:b/>
                <w:sz w:val="20"/>
                <w:szCs w:val="20"/>
                <w:lang w:val="en-CA"/>
              </w:rPr>
            </w:pPr>
            <w:r w:rsidRPr="000113BB">
              <w:rPr>
                <w:rFonts w:ascii="Garamond" w:hAnsi="Garamond"/>
                <w:b/>
                <w:sz w:val="20"/>
                <w:szCs w:val="20"/>
                <w:lang w:val="en-CA"/>
              </w:rPr>
              <w:t>Relations to other variables</w:t>
            </w:r>
          </w:p>
        </w:tc>
        <w:tc>
          <w:tcPr>
            <w:tcW w:w="1080" w:type="dxa"/>
            <w:tcBorders>
              <w:top w:val="single" w:sz="4" w:space="0" w:color="auto"/>
              <w:left w:val="nil"/>
              <w:bottom w:val="nil"/>
              <w:right w:val="nil"/>
            </w:tcBorders>
            <w:hideMark/>
          </w:tcPr>
          <w:p w14:paraId="771383B5" w14:textId="77777777" w:rsidR="000113BB" w:rsidRPr="000113BB" w:rsidRDefault="000113BB" w:rsidP="000113BB">
            <w:pPr>
              <w:spacing w:after="120"/>
              <w:jc w:val="center"/>
              <w:rPr>
                <w:rFonts w:ascii="Garamond" w:hAnsi="Garamond"/>
                <w:b/>
                <w:sz w:val="20"/>
                <w:szCs w:val="20"/>
                <w:lang w:val="en-CA"/>
              </w:rPr>
            </w:pPr>
            <w:r w:rsidRPr="000113BB">
              <w:rPr>
                <w:rFonts w:ascii="Garamond" w:hAnsi="Garamond"/>
                <w:b/>
                <w:sz w:val="20"/>
                <w:szCs w:val="20"/>
                <w:lang w:val="en-CA"/>
              </w:rPr>
              <w:t>Response process</w:t>
            </w:r>
          </w:p>
        </w:tc>
        <w:tc>
          <w:tcPr>
            <w:tcW w:w="990" w:type="dxa"/>
            <w:tcBorders>
              <w:top w:val="single" w:sz="4" w:space="0" w:color="auto"/>
              <w:left w:val="nil"/>
              <w:bottom w:val="nil"/>
              <w:right w:val="nil"/>
            </w:tcBorders>
            <w:hideMark/>
          </w:tcPr>
          <w:p w14:paraId="42B09C48" w14:textId="16C9C62A" w:rsidR="000113BB" w:rsidRPr="000113BB" w:rsidRDefault="000113BB" w:rsidP="000113BB">
            <w:pPr>
              <w:spacing w:after="120"/>
              <w:jc w:val="center"/>
              <w:rPr>
                <w:rFonts w:ascii="Garamond" w:hAnsi="Garamond"/>
                <w:b/>
                <w:sz w:val="20"/>
                <w:szCs w:val="20"/>
                <w:lang w:val="en-CA"/>
              </w:rPr>
            </w:pPr>
            <w:r w:rsidRPr="000113BB">
              <w:rPr>
                <w:rFonts w:ascii="Garamond" w:hAnsi="Garamond"/>
                <w:b/>
                <w:sz w:val="20"/>
                <w:szCs w:val="20"/>
                <w:lang w:val="en-CA"/>
              </w:rPr>
              <w:t>Conse</w:t>
            </w:r>
            <w:r w:rsidR="003856DA">
              <w:rPr>
                <w:rFonts w:ascii="Garamond" w:hAnsi="Garamond"/>
                <w:b/>
                <w:sz w:val="20"/>
                <w:szCs w:val="20"/>
                <w:lang w:val="en-CA"/>
              </w:rPr>
              <w:t>-</w:t>
            </w:r>
            <w:r w:rsidRPr="000113BB">
              <w:rPr>
                <w:rFonts w:ascii="Garamond" w:hAnsi="Garamond"/>
                <w:b/>
                <w:sz w:val="20"/>
                <w:szCs w:val="20"/>
                <w:lang w:val="en-CA"/>
              </w:rPr>
              <w:t>quences</w:t>
            </w:r>
          </w:p>
        </w:tc>
      </w:tr>
      <w:tr w:rsidR="000113BB" w:rsidRPr="003856DA" w14:paraId="42B7D76F" w14:textId="77777777" w:rsidTr="003856DA">
        <w:trPr>
          <w:trHeight w:val="300"/>
        </w:trPr>
        <w:tc>
          <w:tcPr>
            <w:tcW w:w="2070" w:type="dxa"/>
            <w:tcBorders>
              <w:top w:val="nil"/>
              <w:left w:val="nil"/>
              <w:bottom w:val="single" w:sz="4" w:space="0" w:color="auto"/>
              <w:right w:val="nil"/>
            </w:tcBorders>
            <w:hideMark/>
          </w:tcPr>
          <w:p w14:paraId="1989B309" w14:textId="77777777" w:rsidR="000113BB" w:rsidRPr="000113BB" w:rsidRDefault="000113BB" w:rsidP="000113BB">
            <w:pPr>
              <w:spacing w:after="120"/>
              <w:jc w:val="center"/>
              <w:rPr>
                <w:rFonts w:ascii="Garamond" w:hAnsi="Garamond"/>
                <w:b/>
                <w:sz w:val="20"/>
                <w:szCs w:val="20"/>
                <w:lang w:val="en-CA"/>
              </w:rPr>
            </w:pPr>
          </w:p>
        </w:tc>
        <w:tc>
          <w:tcPr>
            <w:tcW w:w="1800" w:type="dxa"/>
            <w:tcBorders>
              <w:top w:val="nil"/>
              <w:left w:val="nil"/>
              <w:bottom w:val="single" w:sz="4" w:space="0" w:color="auto"/>
              <w:right w:val="nil"/>
            </w:tcBorders>
            <w:hideMark/>
          </w:tcPr>
          <w:p w14:paraId="52A61817" w14:textId="77777777" w:rsidR="000113BB" w:rsidRPr="000113BB" w:rsidRDefault="000113BB" w:rsidP="000113BB">
            <w:pPr>
              <w:spacing w:after="120"/>
              <w:jc w:val="center"/>
              <w:rPr>
                <w:rFonts w:ascii="Garamond" w:hAnsi="Garamond"/>
                <w:b/>
                <w:sz w:val="20"/>
                <w:szCs w:val="20"/>
                <w:lang w:val="en-CA"/>
              </w:rPr>
            </w:pPr>
          </w:p>
        </w:tc>
        <w:tc>
          <w:tcPr>
            <w:tcW w:w="900" w:type="dxa"/>
            <w:tcBorders>
              <w:top w:val="nil"/>
              <w:left w:val="nil"/>
              <w:bottom w:val="single" w:sz="4" w:space="0" w:color="auto"/>
              <w:right w:val="nil"/>
            </w:tcBorders>
            <w:hideMark/>
          </w:tcPr>
          <w:p w14:paraId="48F7108F" w14:textId="77777777" w:rsidR="000113BB" w:rsidRPr="000113BB" w:rsidRDefault="000113BB" w:rsidP="000113BB">
            <w:pPr>
              <w:spacing w:after="120"/>
              <w:jc w:val="center"/>
              <w:rPr>
                <w:rFonts w:ascii="Garamond" w:hAnsi="Garamond"/>
                <w:b/>
                <w:sz w:val="20"/>
                <w:szCs w:val="20"/>
                <w:lang w:val="en-CA"/>
              </w:rPr>
            </w:pPr>
          </w:p>
        </w:tc>
        <w:tc>
          <w:tcPr>
            <w:tcW w:w="900" w:type="dxa"/>
            <w:tcBorders>
              <w:top w:val="nil"/>
              <w:left w:val="nil"/>
              <w:bottom w:val="single" w:sz="4" w:space="0" w:color="auto"/>
              <w:right w:val="nil"/>
            </w:tcBorders>
            <w:hideMark/>
          </w:tcPr>
          <w:p w14:paraId="49430E7F" w14:textId="77777777" w:rsidR="000113BB" w:rsidRPr="000113BB" w:rsidRDefault="000113BB" w:rsidP="000113BB">
            <w:pPr>
              <w:spacing w:after="120"/>
              <w:jc w:val="center"/>
              <w:rPr>
                <w:rFonts w:ascii="Garamond" w:hAnsi="Garamond"/>
                <w:b/>
                <w:sz w:val="20"/>
                <w:szCs w:val="20"/>
                <w:lang w:val="en-CA"/>
              </w:rPr>
            </w:pPr>
          </w:p>
        </w:tc>
        <w:tc>
          <w:tcPr>
            <w:tcW w:w="1170" w:type="dxa"/>
            <w:tcBorders>
              <w:top w:val="nil"/>
              <w:left w:val="nil"/>
              <w:bottom w:val="single" w:sz="4" w:space="0" w:color="auto"/>
              <w:right w:val="nil"/>
            </w:tcBorders>
            <w:hideMark/>
          </w:tcPr>
          <w:p w14:paraId="2C900218" w14:textId="77777777" w:rsidR="000113BB" w:rsidRPr="000113BB" w:rsidRDefault="000113BB" w:rsidP="000113BB">
            <w:pPr>
              <w:spacing w:after="120"/>
              <w:jc w:val="center"/>
              <w:rPr>
                <w:rFonts w:ascii="Garamond" w:hAnsi="Garamond"/>
                <w:b/>
                <w:sz w:val="20"/>
                <w:szCs w:val="20"/>
                <w:lang w:val="en-CA"/>
              </w:rPr>
            </w:pPr>
          </w:p>
        </w:tc>
        <w:tc>
          <w:tcPr>
            <w:tcW w:w="900" w:type="dxa"/>
            <w:tcBorders>
              <w:top w:val="nil"/>
              <w:left w:val="nil"/>
              <w:bottom w:val="single" w:sz="4" w:space="0" w:color="auto"/>
              <w:right w:val="nil"/>
            </w:tcBorders>
            <w:hideMark/>
          </w:tcPr>
          <w:p w14:paraId="2BAD1209" w14:textId="77777777" w:rsidR="000113BB" w:rsidRPr="000113BB" w:rsidRDefault="000113BB" w:rsidP="000113BB">
            <w:pPr>
              <w:spacing w:after="120"/>
              <w:jc w:val="center"/>
              <w:rPr>
                <w:rFonts w:ascii="Garamond" w:hAnsi="Garamond"/>
                <w:b/>
                <w:sz w:val="20"/>
                <w:szCs w:val="20"/>
                <w:lang w:val="en-CA"/>
              </w:rPr>
            </w:pPr>
          </w:p>
        </w:tc>
        <w:tc>
          <w:tcPr>
            <w:tcW w:w="990" w:type="dxa"/>
            <w:tcBorders>
              <w:top w:val="nil"/>
              <w:left w:val="nil"/>
              <w:bottom w:val="single" w:sz="4" w:space="0" w:color="auto"/>
              <w:right w:val="nil"/>
            </w:tcBorders>
            <w:hideMark/>
          </w:tcPr>
          <w:p w14:paraId="2999A967" w14:textId="77777777" w:rsidR="000113BB" w:rsidRPr="000113BB" w:rsidRDefault="000113BB" w:rsidP="000113BB">
            <w:pPr>
              <w:spacing w:after="120"/>
              <w:jc w:val="center"/>
              <w:rPr>
                <w:rFonts w:ascii="Garamond" w:hAnsi="Garamond"/>
                <w:b/>
                <w:sz w:val="20"/>
                <w:szCs w:val="20"/>
                <w:lang w:val="en-CA"/>
              </w:rPr>
            </w:pPr>
          </w:p>
        </w:tc>
        <w:tc>
          <w:tcPr>
            <w:tcW w:w="900" w:type="dxa"/>
            <w:tcBorders>
              <w:top w:val="single" w:sz="4" w:space="0" w:color="auto"/>
              <w:left w:val="nil"/>
              <w:bottom w:val="single" w:sz="4" w:space="0" w:color="auto"/>
              <w:right w:val="nil"/>
            </w:tcBorders>
            <w:hideMark/>
          </w:tcPr>
          <w:p w14:paraId="0704AEDC" w14:textId="77777777" w:rsidR="000113BB" w:rsidRPr="000113BB" w:rsidRDefault="000113BB" w:rsidP="000113BB">
            <w:pPr>
              <w:spacing w:after="120"/>
              <w:jc w:val="center"/>
              <w:rPr>
                <w:rFonts w:ascii="Garamond" w:hAnsi="Garamond"/>
                <w:b/>
                <w:sz w:val="20"/>
                <w:szCs w:val="20"/>
                <w:lang w:val="en-CA"/>
              </w:rPr>
            </w:pPr>
            <w:r w:rsidRPr="000113BB">
              <w:rPr>
                <w:rFonts w:ascii="Garamond" w:hAnsi="Garamond"/>
                <w:b/>
                <w:sz w:val="20"/>
                <w:szCs w:val="20"/>
                <w:lang w:val="en-CA"/>
              </w:rPr>
              <w:t>Conver-gent</w:t>
            </w:r>
          </w:p>
        </w:tc>
        <w:tc>
          <w:tcPr>
            <w:tcW w:w="900" w:type="dxa"/>
            <w:tcBorders>
              <w:top w:val="single" w:sz="4" w:space="0" w:color="auto"/>
              <w:left w:val="nil"/>
              <w:bottom w:val="single" w:sz="4" w:space="0" w:color="auto"/>
              <w:right w:val="nil"/>
            </w:tcBorders>
            <w:hideMark/>
          </w:tcPr>
          <w:p w14:paraId="59B4EA9D" w14:textId="77777777" w:rsidR="000113BB" w:rsidRPr="000113BB" w:rsidRDefault="000113BB" w:rsidP="000113BB">
            <w:pPr>
              <w:spacing w:after="120"/>
              <w:jc w:val="center"/>
              <w:rPr>
                <w:rFonts w:ascii="Garamond" w:hAnsi="Garamond"/>
                <w:b/>
                <w:sz w:val="20"/>
                <w:szCs w:val="20"/>
                <w:lang w:val="en-CA"/>
              </w:rPr>
            </w:pPr>
            <w:r w:rsidRPr="000113BB">
              <w:rPr>
                <w:rFonts w:ascii="Garamond" w:hAnsi="Garamond"/>
                <w:b/>
                <w:sz w:val="20"/>
                <w:szCs w:val="20"/>
                <w:lang w:val="en-CA"/>
              </w:rPr>
              <w:t>Discri-minant</w:t>
            </w:r>
          </w:p>
        </w:tc>
        <w:tc>
          <w:tcPr>
            <w:tcW w:w="990" w:type="dxa"/>
            <w:tcBorders>
              <w:top w:val="single" w:sz="4" w:space="0" w:color="auto"/>
              <w:left w:val="nil"/>
              <w:bottom w:val="single" w:sz="4" w:space="0" w:color="auto"/>
              <w:right w:val="nil"/>
            </w:tcBorders>
            <w:hideMark/>
          </w:tcPr>
          <w:p w14:paraId="0C9967D3" w14:textId="77777777" w:rsidR="000113BB" w:rsidRPr="000113BB" w:rsidRDefault="000113BB" w:rsidP="000113BB">
            <w:pPr>
              <w:spacing w:after="120"/>
              <w:jc w:val="center"/>
              <w:rPr>
                <w:rFonts w:ascii="Garamond" w:hAnsi="Garamond"/>
                <w:b/>
                <w:sz w:val="20"/>
                <w:szCs w:val="20"/>
                <w:lang w:val="en-CA"/>
              </w:rPr>
            </w:pPr>
            <w:r w:rsidRPr="000113BB">
              <w:rPr>
                <w:rFonts w:ascii="Garamond" w:hAnsi="Garamond"/>
                <w:b/>
                <w:sz w:val="20"/>
                <w:szCs w:val="20"/>
                <w:lang w:val="en-CA"/>
              </w:rPr>
              <w:t>Test-criterion</w:t>
            </w:r>
          </w:p>
        </w:tc>
        <w:tc>
          <w:tcPr>
            <w:tcW w:w="1080" w:type="dxa"/>
            <w:tcBorders>
              <w:top w:val="nil"/>
              <w:left w:val="nil"/>
              <w:bottom w:val="single" w:sz="4" w:space="0" w:color="auto"/>
              <w:right w:val="nil"/>
            </w:tcBorders>
            <w:hideMark/>
          </w:tcPr>
          <w:p w14:paraId="7430B482" w14:textId="77777777" w:rsidR="000113BB" w:rsidRPr="000113BB" w:rsidRDefault="000113BB" w:rsidP="000113BB">
            <w:pPr>
              <w:spacing w:after="120"/>
              <w:jc w:val="center"/>
              <w:rPr>
                <w:rFonts w:ascii="Garamond" w:hAnsi="Garamond"/>
                <w:b/>
                <w:sz w:val="20"/>
                <w:szCs w:val="20"/>
                <w:lang w:val="en-CA"/>
              </w:rPr>
            </w:pPr>
          </w:p>
        </w:tc>
        <w:tc>
          <w:tcPr>
            <w:tcW w:w="990" w:type="dxa"/>
            <w:tcBorders>
              <w:top w:val="nil"/>
              <w:left w:val="nil"/>
              <w:bottom w:val="single" w:sz="4" w:space="0" w:color="auto"/>
              <w:right w:val="nil"/>
            </w:tcBorders>
            <w:hideMark/>
          </w:tcPr>
          <w:p w14:paraId="0B89DB89" w14:textId="77777777" w:rsidR="000113BB" w:rsidRPr="000113BB" w:rsidRDefault="000113BB" w:rsidP="000113BB">
            <w:pPr>
              <w:spacing w:after="120"/>
              <w:jc w:val="center"/>
              <w:rPr>
                <w:rFonts w:ascii="Garamond" w:hAnsi="Garamond"/>
                <w:b/>
                <w:sz w:val="20"/>
                <w:szCs w:val="20"/>
                <w:lang w:val="en-CA"/>
              </w:rPr>
            </w:pPr>
          </w:p>
        </w:tc>
      </w:tr>
      <w:tr w:rsidR="000113BB" w:rsidRPr="000113BB" w14:paraId="1AE3C4B1" w14:textId="77777777" w:rsidTr="003856DA">
        <w:trPr>
          <w:trHeight w:val="300"/>
        </w:trPr>
        <w:tc>
          <w:tcPr>
            <w:tcW w:w="2070" w:type="dxa"/>
            <w:tcBorders>
              <w:top w:val="single" w:sz="4" w:space="0" w:color="auto"/>
              <w:left w:val="nil"/>
              <w:bottom w:val="single" w:sz="4" w:space="0" w:color="A6A6A6" w:themeColor="background1" w:themeShade="A6"/>
              <w:right w:val="nil"/>
            </w:tcBorders>
            <w:hideMark/>
          </w:tcPr>
          <w:p w14:paraId="21D08DCD" w14:textId="77777777" w:rsidR="000113BB" w:rsidRPr="000113BB" w:rsidRDefault="000113BB" w:rsidP="000113BB">
            <w:pPr>
              <w:spacing w:after="120"/>
              <w:rPr>
                <w:rFonts w:ascii="Garamond" w:hAnsi="Garamond"/>
                <w:bCs/>
                <w:sz w:val="20"/>
                <w:szCs w:val="20"/>
                <w:lang w:val="en-CA"/>
              </w:rPr>
            </w:pPr>
            <w:r w:rsidRPr="000113BB">
              <w:rPr>
                <w:rFonts w:ascii="Garamond" w:hAnsi="Garamond"/>
                <w:bCs/>
                <w:sz w:val="20"/>
                <w:szCs w:val="20"/>
                <w:lang w:val="en-CA"/>
              </w:rPr>
              <w:t>Armstrong &amp; Vogel (2009)</w:t>
            </w:r>
          </w:p>
        </w:tc>
        <w:tc>
          <w:tcPr>
            <w:tcW w:w="1800" w:type="dxa"/>
            <w:tcBorders>
              <w:top w:val="single" w:sz="4" w:space="0" w:color="auto"/>
              <w:left w:val="nil"/>
              <w:bottom w:val="single" w:sz="4" w:space="0" w:color="A6A6A6" w:themeColor="background1" w:themeShade="A6"/>
              <w:right w:val="nil"/>
            </w:tcBorders>
            <w:hideMark/>
          </w:tcPr>
          <w:p w14:paraId="58DCA818" w14:textId="77777777" w:rsidR="000113BB" w:rsidRPr="000113BB" w:rsidRDefault="000113BB" w:rsidP="000113BB">
            <w:pPr>
              <w:spacing w:after="120"/>
              <w:rPr>
                <w:rFonts w:ascii="Garamond" w:hAnsi="Garamond"/>
                <w:bCs/>
                <w:sz w:val="20"/>
                <w:szCs w:val="20"/>
                <w:lang w:val="en-CA"/>
              </w:rPr>
            </w:pPr>
            <w:r w:rsidRPr="000113BB">
              <w:rPr>
                <w:rFonts w:ascii="Garamond" w:hAnsi="Garamond"/>
                <w:bCs/>
                <w:sz w:val="20"/>
                <w:szCs w:val="20"/>
                <w:lang w:val="en-CA"/>
              </w:rPr>
              <w:t>College students</w:t>
            </w:r>
          </w:p>
        </w:tc>
        <w:tc>
          <w:tcPr>
            <w:tcW w:w="900" w:type="dxa"/>
            <w:tcBorders>
              <w:top w:val="single" w:sz="4" w:space="0" w:color="auto"/>
              <w:left w:val="nil"/>
              <w:bottom w:val="single" w:sz="4" w:space="0" w:color="A6A6A6" w:themeColor="background1" w:themeShade="A6"/>
              <w:right w:val="nil"/>
            </w:tcBorders>
            <w:hideMark/>
          </w:tcPr>
          <w:p w14:paraId="24298A85" w14:textId="77777777" w:rsidR="000113BB" w:rsidRPr="000113BB" w:rsidRDefault="000113BB" w:rsidP="000113BB">
            <w:pPr>
              <w:spacing w:after="120"/>
              <w:jc w:val="center"/>
              <w:rPr>
                <w:rFonts w:ascii="Garamond" w:hAnsi="Garamond"/>
                <w:bCs/>
                <w:sz w:val="20"/>
                <w:szCs w:val="20"/>
                <w:lang w:val="en-CA"/>
              </w:rPr>
            </w:pPr>
            <w:r w:rsidRPr="000113BB">
              <w:rPr>
                <w:rFonts w:ascii="Garamond" w:hAnsi="Garamond"/>
                <w:bCs/>
                <w:sz w:val="20"/>
                <w:szCs w:val="20"/>
                <w:lang w:val="en-CA"/>
              </w:rPr>
              <w:t>608</w:t>
            </w:r>
          </w:p>
        </w:tc>
        <w:tc>
          <w:tcPr>
            <w:tcW w:w="900" w:type="dxa"/>
            <w:tcBorders>
              <w:top w:val="single" w:sz="4" w:space="0" w:color="auto"/>
              <w:left w:val="nil"/>
              <w:bottom w:val="single" w:sz="4" w:space="0" w:color="A6A6A6" w:themeColor="background1" w:themeShade="A6"/>
              <w:right w:val="nil"/>
            </w:tcBorders>
            <w:hideMark/>
          </w:tcPr>
          <w:p w14:paraId="68B3D613" w14:textId="77777777" w:rsidR="000113BB" w:rsidRPr="000113BB" w:rsidRDefault="000113BB" w:rsidP="000113BB">
            <w:pPr>
              <w:spacing w:after="120"/>
              <w:jc w:val="center"/>
              <w:rPr>
                <w:rFonts w:ascii="Garamond" w:hAnsi="Garamond"/>
                <w:bCs/>
                <w:sz w:val="20"/>
                <w:szCs w:val="20"/>
                <w:lang w:val="en-CA"/>
              </w:rPr>
            </w:pPr>
          </w:p>
        </w:tc>
        <w:tc>
          <w:tcPr>
            <w:tcW w:w="1170" w:type="dxa"/>
            <w:tcBorders>
              <w:top w:val="single" w:sz="4" w:space="0" w:color="auto"/>
              <w:left w:val="nil"/>
              <w:bottom w:val="single" w:sz="4" w:space="0" w:color="A6A6A6" w:themeColor="background1" w:themeShade="A6"/>
              <w:right w:val="nil"/>
            </w:tcBorders>
            <w:hideMark/>
          </w:tcPr>
          <w:p w14:paraId="562874DD" w14:textId="77777777" w:rsidR="000113BB" w:rsidRPr="000113BB" w:rsidRDefault="000113BB" w:rsidP="000113BB">
            <w:pPr>
              <w:spacing w:after="120"/>
              <w:jc w:val="center"/>
              <w:rPr>
                <w:rFonts w:ascii="Garamond" w:hAnsi="Garamond"/>
                <w:bCs/>
                <w:sz w:val="20"/>
                <w:szCs w:val="20"/>
                <w:lang w:val="en-CA"/>
              </w:rPr>
            </w:pPr>
            <w:r w:rsidRPr="000113BB">
              <w:rPr>
                <w:rFonts w:ascii="Segoe UI Symbol" w:hAnsi="Segoe UI Symbol" w:cs="Segoe UI Symbol"/>
                <w:bCs/>
                <w:sz w:val="20"/>
                <w:szCs w:val="20"/>
                <w:lang w:val="en-CA"/>
              </w:rPr>
              <w:t>✓</w:t>
            </w:r>
          </w:p>
        </w:tc>
        <w:tc>
          <w:tcPr>
            <w:tcW w:w="900" w:type="dxa"/>
            <w:tcBorders>
              <w:top w:val="single" w:sz="4" w:space="0" w:color="auto"/>
              <w:left w:val="nil"/>
              <w:bottom w:val="single" w:sz="4" w:space="0" w:color="A6A6A6" w:themeColor="background1" w:themeShade="A6"/>
              <w:right w:val="nil"/>
            </w:tcBorders>
            <w:hideMark/>
          </w:tcPr>
          <w:p w14:paraId="69181395" w14:textId="77777777" w:rsidR="000113BB" w:rsidRPr="000113BB" w:rsidRDefault="000113BB" w:rsidP="000113BB">
            <w:pPr>
              <w:spacing w:after="120"/>
              <w:jc w:val="center"/>
              <w:rPr>
                <w:rFonts w:ascii="Garamond" w:hAnsi="Garamond"/>
                <w:bCs/>
                <w:sz w:val="20"/>
                <w:szCs w:val="20"/>
                <w:lang w:val="en-CA"/>
              </w:rPr>
            </w:pPr>
          </w:p>
        </w:tc>
        <w:tc>
          <w:tcPr>
            <w:tcW w:w="990" w:type="dxa"/>
            <w:tcBorders>
              <w:top w:val="single" w:sz="4" w:space="0" w:color="auto"/>
              <w:left w:val="nil"/>
              <w:bottom w:val="single" w:sz="4" w:space="0" w:color="A6A6A6" w:themeColor="background1" w:themeShade="A6"/>
              <w:right w:val="nil"/>
            </w:tcBorders>
            <w:hideMark/>
          </w:tcPr>
          <w:p w14:paraId="5BB4180A" w14:textId="77777777" w:rsidR="000113BB" w:rsidRPr="000113BB" w:rsidRDefault="000113BB" w:rsidP="000113BB">
            <w:pPr>
              <w:spacing w:after="120"/>
              <w:jc w:val="center"/>
              <w:rPr>
                <w:rFonts w:ascii="Garamond" w:hAnsi="Garamond"/>
                <w:bCs/>
                <w:sz w:val="20"/>
                <w:szCs w:val="20"/>
                <w:lang w:val="en-CA"/>
              </w:rPr>
            </w:pPr>
            <w:r w:rsidRPr="000113BB">
              <w:rPr>
                <w:rFonts w:ascii="Segoe UI Symbol" w:hAnsi="Segoe UI Symbol" w:cs="Segoe UI Symbol"/>
                <w:bCs/>
                <w:sz w:val="20"/>
                <w:szCs w:val="20"/>
                <w:lang w:val="en-CA"/>
              </w:rPr>
              <w:t>✓</w:t>
            </w:r>
          </w:p>
        </w:tc>
        <w:tc>
          <w:tcPr>
            <w:tcW w:w="900" w:type="dxa"/>
            <w:tcBorders>
              <w:top w:val="single" w:sz="4" w:space="0" w:color="auto"/>
              <w:left w:val="nil"/>
              <w:bottom w:val="single" w:sz="4" w:space="0" w:color="A6A6A6" w:themeColor="background1" w:themeShade="A6"/>
              <w:right w:val="nil"/>
            </w:tcBorders>
            <w:hideMark/>
          </w:tcPr>
          <w:p w14:paraId="270B1A77" w14:textId="77777777" w:rsidR="000113BB" w:rsidRPr="000113BB" w:rsidRDefault="000113BB" w:rsidP="000113BB">
            <w:pPr>
              <w:spacing w:after="120"/>
              <w:jc w:val="center"/>
              <w:rPr>
                <w:rFonts w:ascii="Garamond" w:hAnsi="Garamond"/>
                <w:bCs/>
                <w:sz w:val="20"/>
                <w:szCs w:val="20"/>
                <w:lang w:val="en-CA"/>
              </w:rPr>
            </w:pPr>
            <w:r w:rsidRPr="000113BB">
              <w:rPr>
                <w:rFonts w:ascii="Segoe UI Symbol" w:hAnsi="Segoe UI Symbol" w:cs="Segoe UI Symbol"/>
                <w:bCs/>
                <w:sz w:val="20"/>
                <w:szCs w:val="20"/>
                <w:lang w:val="en-CA"/>
              </w:rPr>
              <w:t>✓</w:t>
            </w:r>
          </w:p>
        </w:tc>
        <w:tc>
          <w:tcPr>
            <w:tcW w:w="900" w:type="dxa"/>
            <w:tcBorders>
              <w:top w:val="single" w:sz="4" w:space="0" w:color="auto"/>
              <w:left w:val="nil"/>
              <w:bottom w:val="single" w:sz="4" w:space="0" w:color="A6A6A6" w:themeColor="background1" w:themeShade="A6"/>
              <w:right w:val="nil"/>
            </w:tcBorders>
            <w:hideMark/>
          </w:tcPr>
          <w:p w14:paraId="7003111B" w14:textId="77777777" w:rsidR="000113BB" w:rsidRPr="000113BB" w:rsidRDefault="000113BB" w:rsidP="000113BB">
            <w:pPr>
              <w:spacing w:after="120"/>
              <w:jc w:val="center"/>
              <w:rPr>
                <w:rFonts w:ascii="Garamond" w:hAnsi="Garamond"/>
                <w:bCs/>
                <w:sz w:val="20"/>
                <w:szCs w:val="20"/>
                <w:lang w:val="en-CA"/>
              </w:rPr>
            </w:pPr>
          </w:p>
        </w:tc>
        <w:tc>
          <w:tcPr>
            <w:tcW w:w="990" w:type="dxa"/>
            <w:tcBorders>
              <w:top w:val="single" w:sz="4" w:space="0" w:color="auto"/>
              <w:left w:val="nil"/>
              <w:bottom w:val="single" w:sz="4" w:space="0" w:color="A6A6A6" w:themeColor="background1" w:themeShade="A6"/>
              <w:right w:val="nil"/>
            </w:tcBorders>
            <w:hideMark/>
          </w:tcPr>
          <w:p w14:paraId="40B43CC2" w14:textId="77777777" w:rsidR="000113BB" w:rsidRPr="000113BB" w:rsidRDefault="000113BB" w:rsidP="000113BB">
            <w:pPr>
              <w:spacing w:after="120"/>
              <w:jc w:val="center"/>
              <w:rPr>
                <w:rFonts w:ascii="Garamond" w:hAnsi="Garamond"/>
                <w:bCs/>
                <w:sz w:val="20"/>
                <w:szCs w:val="20"/>
                <w:lang w:val="en-CA"/>
              </w:rPr>
            </w:pPr>
          </w:p>
        </w:tc>
        <w:tc>
          <w:tcPr>
            <w:tcW w:w="1080" w:type="dxa"/>
            <w:tcBorders>
              <w:top w:val="single" w:sz="4" w:space="0" w:color="auto"/>
              <w:left w:val="nil"/>
              <w:bottom w:val="single" w:sz="4" w:space="0" w:color="A6A6A6" w:themeColor="background1" w:themeShade="A6"/>
              <w:right w:val="nil"/>
            </w:tcBorders>
            <w:hideMark/>
          </w:tcPr>
          <w:p w14:paraId="5D8BB35E" w14:textId="77777777" w:rsidR="000113BB" w:rsidRPr="000113BB" w:rsidRDefault="000113BB" w:rsidP="000113BB">
            <w:pPr>
              <w:spacing w:after="120"/>
              <w:jc w:val="center"/>
              <w:rPr>
                <w:rFonts w:ascii="Garamond" w:hAnsi="Garamond"/>
                <w:bCs/>
                <w:sz w:val="20"/>
                <w:szCs w:val="20"/>
                <w:lang w:val="en-CA"/>
              </w:rPr>
            </w:pPr>
          </w:p>
        </w:tc>
        <w:tc>
          <w:tcPr>
            <w:tcW w:w="990" w:type="dxa"/>
            <w:tcBorders>
              <w:top w:val="single" w:sz="4" w:space="0" w:color="auto"/>
              <w:left w:val="nil"/>
              <w:bottom w:val="single" w:sz="4" w:space="0" w:color="A6A6A6" w:themeColor="background1" w:themeShade="A6"/>
              <w:right w:val="nil"/>
            </w:tcBorders>
            <w:hideMark/>
          </w:tcPr>
          <w:p w14:paraId="536D15A2" w14:textId="77777777" w:rsidR="000113BB" w:rsidRPr="000113BB" w:rsidRDefault="000113BB" w:rsidP="000113BB">
            <w:pPr>
              <w:spacing w:after="120"/>
              <w:jc w:val="center"/>
              <w:rPr>
                <w:rFonts w:ascii="Garamond" w:hAnsi="Garamond"/>
                <w:bCs/>
                <w:sz w:val="20"/>
                <w:szCs w:val="20"/>
                <w:lang w:val="en-CA"/>
              </w:rPr>
            </w:pPr>
          </w:p>
        </w:tc>
      </w:tr>
      <w:tr w:rsidR="000113BB" w:rsidRPr="000113BB" w14:paraId="118EF7F1" w14:textId="77777777" w:rsidTr="003856DA">
        <w:trPr>
          <w:trHeight w:val="300"/>
        </w:trPr>
        <w:tc>
          <w:tcPr>
            <w:tcW w:w="2070" w:type="dxa"/>
            <w:tcBorders>
              <w:top w:val="single" w:sz="4" w:space="0" w:color="A6A6A6" w:themeColor="background1" w:themeShade="A6"/>
              <w:bottom w:val="single" w:sz="4" w:space="0" w:color="A6A6A6" w:themeColor="background1" w:themeShade="A6"/>
            </w:tcBorders>
            <w:hideMark/>
          </w:tcPr>
          <w:p w14:paraId="2EFD6FCD" w14:textId="77777777" w:rsidR="000113BB" w:rsidRPr="000113BB" w:rsidRDefault="000113BB" w:rsidP="000113BB">
            <w:pPr>
              <w:spacing w:after="120"/>
              <w:rPr>
                <w:rFonts w:ascii="Garamond" w:hAnsi="Garamond"/>
                <w:bCs/>
                <w:sz w:val="20"/>
                <w:szCs w:val="20"/>
                <w:lang w:val="en-CA"/>
              </w:rPr>
            </w:pPr>
            <w:r w:rsidRPr="000113BB">
              <w:rPr>
                <w:rFonts w:ascii="Garamond" w:hAnsi="Garamond"/>
                <w:bCs/>
                <w:sz w:val="20"/>
                <w:szCs w:val="20"/>
                <w:lang w:val="en-CA"/>
              </w:rPr>
              <w:t>Bailey et al. (2008)</w:t>
            </w:r>
          </w:p>
        </w:tc>
        <w:tc>
          <w:tcPr>
            <w:tcW w:w="1800" w:type="dxa"/>
            <w:tcBorders>
              <w:top w:val="single" w:sz="4" w:space="0" w:color="A6A6A6" w:themeColor="background1" w:themeShade="A6"/>
              <w:bottom w:val="single" w:sz="4" w:space="0" w:color="A6A6A6" w:themeColor="background1" w:themeShade="A6"/>
            </w:tcBorders>
            <w:hideMark/>
          </w:tcPr>
          <w:p w14:paraId="4BB6D979" w14:textId="77777777" w:rsidR="000113BB" w:rsidRPr="000113BB" w:rsidRDefault="000113BB" w:rsidP="000113BB">
            <w:pPr>
              <w:spacing w:after="120"/>
              <w:rPr>
                <w:rFonts w:ascii="Garamond" w:hAnsi="Garamond"/>
                <w:bCs/>
                <w:sz w:val="20"/>
                <w:szCs w:val="20"/>
                <w:lang w:val="en-CA"/>
              </w:rPr>
            </w:pPr>
            <w:r w:rsidRPr="000113BB">
              <w:rPr>
                <w:rFonts w:ascii="Garamond" w:hAnsi="Garamond"/>
                <w:bCs/>
                <w:sz w:val="20"/>
                <w:szCs w:val="20"/>
                <w:lang w:val="en-CA"/>
              </w:rPr>
              <w:t>U.S. students</w:t>
            </w:r>
          </w:p>
        </w:tc>
        <w:tc>
          <w:tcPr>
            <w:tcW w:w="900" w:type="dxa"/>
            <w:tcBorders>
              <w:top w:val="single" w:sz="4" w:space="0" w:color="A6A6A6" w:themeColor="background1" w:themeShade="A6"/>
              <w:bottom w:val="single" w:sz="4" w:space="0" w:color="A6A6A6" w:themeColor="background1" w:themeShade="A6"/>
            </w:tcBorders>
            <w:hideMark/>
          </w:tcPr>
          <w:p w14:paraId="40C1D42B" w14:textId="77777777" w:rsidR="000113BB" w:rsidRPr="000113BB" w:rsidRDefault="000113BB" w:rsidP="000113BB">
            <w:pPr>
              <w:spacing w:after="120"/>
              <w:jc w:val="center"/>
              <w:rPr>
                <w:rFonts w:ascii="Garamond" w:hAnsi="Garamond"/>
                <w:bCs/>
                <w:sz w:val="20"/>
                <w:szCs w:val="20"/>
                <w:lang w:val="en-CA"/>
              </w:rPr>
            </w:pPr>
            <w:r w:rsidRPr="000113BB">
              <w:rPr>
                <w:rFonts w:ascii="Garamond" w:hAnsi="Garamond"/>
                <w:bCs/>
                <w:sz w:val="20"/>
                <w:szCs w:val="20"/>
                <w:lang w:val="en-CA"/>
              </w:rPr>
              <w:t>622</w:t>
            </w:r>
          </w:p>
        </w:tc>
        <w:tc>
          <w:tcPr>
            <w:tcW w:w="900" w:type="dxa"/>
            <w:tcBorders>
              <w:top w:val="single" w:sz="4" w:space="0" w:color="A6A6A6" w:themeColor="background1" w:themeShade="A6"/>
              <w:bottom w:val="single" w:sz="4" w:space="0" w:color="A6A6A6" w:themeColor="background1" w:themeShade="A6"/>
            </w:tcBorders>
            <w:hideMark/>
          </w:tcPr>
          <w:p w14:paraId="66F54DF6" w14:textId="77777777" w:rsidR="000113BB" w:rsidRPr="000113BB" w:rsidRDefault="000113BB" w:rsidP="000113BB">
            <w:pPr>
              <w:spacing w:after="120"/>
              <w:jc w:val="center"/>
              <w:rPr>
                <w:rFonts w:ascii="Garamond" w:hAnsi="Garamond"/>
                <w:bCs/>
                <w:sz w:val="20"/>
                <w:szCs w:val="20"/>
                <w:lang w:val="en-CA"/>
              </w:rPr>
            </w:pPr>
          </w:p>
        </w:tc>
        <w:tc>
          <w:tcPr>
            <w:tcW w:w="1170" w:type="dxa"/>
            <w:tcBorders>
              <w:top w:val="single" w:sz="4" w:space="0" w:color="A6A6A6" w:themeColor="background1" w:themeShade="A6"/>
              <w:bottom w:val="single" w:sz="4" w:space="0" w:color="A6A6A6" w:themeColor="background1" w:themeShade="A6"/>
            </w:tcBorders>
            <w:hideMark/>
          </w:tcPr>
          <w:p w14:paraId="6BBCB620" w14:textId="77777777" w:rsidR="000113BB" w:rsidRPr="000113BB" w:rsidRDefault="000113BB" w:rsidP="000113BB">
            <w:pPr>
              <w:spacing w:after="120"/>
              <w:jc w:val="center"/>
              <w:rPr>
                <w:rFonts w:ascii="Garamond" w:hAnsi="Garamond"/>
                <w:bCs/>
                <w:sz w:val="20"/>
                <w:szCs w:val="20"/>
                <w:lang w:val="en-CA"/>
              </w:rPr>
            </w:pPr>
            <w:r w:rsidRPr="000113BB">
              <w:rPr>
                <w:rFonts w:ascii="Segoe UI Symbol" w:hAnsi="Segoe UI Symbol" w:cs="Segoe UI Symbol"/>
                <w:bCs/>
                <w:sz w:val="20"/>
                <w:szCs w:val="20"/>
                <w:lang w:val="en-CA"/>
              </w:rPr>
              <w:t>✓</w:t>
            </w:r>
          </w:p>
        </w:tc>
        <w:tc>
          <w:tcPr>
            <w:tcW w:w="900" w:type="dxa"/>
            <w:tcBorders>
              <w:top w:val="single" w:sz="4" w:space="0" w:color="A6A6A6" w:themeColor="background1" w:themeShade="A6"/>
              <w:bottom w:val="single" w:sz="4" w:space="0" w:color="A6A6A6" w:themeColor="background1" w:themeShade="A6"/>
            </w:tcBorders>
            <w:hideMark/>
          </w:tcPr>
          <w:p w14:paraId="41A3C8B6" w14:textId="77777777" w:rsidR="000113BB" w:rsidRPr="000113BB" w:rsidRDefault="000113BB" w:rsidP="000113BB">
            <w:pPr>
              <w:spacing w:after="120"/>
              <w:jc w:val="center"/>
              <w:rPr>
                <w:rFonts w:ascii="Garamond" w:hAnsi="Garamond"/>
                <w:bCs/>
                <w:sz w:val="20"/>
                <w:szCs w:val="20"/>
                <w:lang w:val="en-CA"/>
              </w:rPr>
            </w:pPr>
          </w:p>
        </w:tc>
        <w:tc>
          <w:tcPr>
            <w:tcW w:w="990" w:type="dxa"/>
            <w:tcBorders>
              <w:top w:val="single" w:sz="4" w:space="0" w:color="A6A6A6" w:themeColor="background1" w:themeShade="A6"/>
              <w:bottom w:val="single" w:sz="4" w:space="0" w:color="A6A6A6" w:themeColor="background1" w:themeShade="A6"/>
            </w:tcBorders>
            <w:hideMark/>
          </w:tcPr>
          <w:p w14:paraId="4357B4ED" w14:textId="77777777" w:rsidR="000113BB" w:rsidRPr="000113BB" w:rsidRDefault="000113BB" w:rsidP="000113BB">
            <w:pPr>
              <w:spacing w:after="120"/>
              <w:jc w:val="center"/>
              <w:rPr>
                <w:rFonts w:ascii="Garamond" w:hAnsi="Garamond"/>
                <w:bCs/>
                <w:sz w:val="20"/>
                <w:szCs w:val="20"/>
                <w:lang w:val="en-CA"/>
              </w:rPr>
            </w:pPr>
          </w:p>
        </w:tc>
        <w:tc>
          <w:tcPr>
            <w:tcW w:w="900" w:type="dxa"/>
            <w:tcBorders>
              <w:top w:val="single" w:sz="4" w:space="0" w:color="A6A6A6" w:themeColor="background1" w:themeShade="A6"/>
              <w:bottom w:val="single" w:sz="4" w:space="0" w:color="A6A6A6" w:themeColor="background1" w:themeShade="A6"/>
            </w:tcBorders>
            <w:hideMark/>
          </w:tcPr>
          <w:p w14:paraId="16C4B487" w14:textId="77777777" w:rsidR="000113BB" w:rsidRPr="000113BB" w:rsidRDefault="000113BB" w:rsidP="000113BB">
            <w:pPr>
              <w:spacing w:after="120"/>
              <w:jc w:val="center"/>
              <w:rPr>
                <w:rFonts w:ascii="Garamond" w:hAnsi="Garamond"/>
                <w:bCs/>
                <w:sz w:val="20"/>
                <w:szCs w:val="20"/>
                <w:lang w:val="en-CA"/>
              </w:rPr>
            </w:pPr>
            <w:r w:rsidRPr="000113BB">
              <w:rPr>
                <w:rFonts w:ascii="Segoe UI Symbol" w:hAnsi="Segoe UI Symbol" w:cs="Segoe UI Symbol"/>
                <w:bCs/>
                <w:sz w:val="20"/>
                <w:szCs w:val="20"/>
                <w:lang w:val="en-CA"/>
              </w:rPr>
              <w:t>✓</w:t>
            </w:r>
          </w:p>
        </w:tc>
        <w:tc>
          <w:tcPr>
            <w:tcW w:w="900" w:type="dxa"/>
            <w:tcBorders>
              <w:top w:val="single" w:sz="4" w:space="0" w:color="A6A6A6" w:themeColor="background1" w:themeShade="A6"/>
              <w:bottom w:val="single" w:sz="4" w:space="0" w:color="A6A6A6" w:themeColor="background1" w:themeShade="A6"/>
            </w:tcBorders>
            <w:hideMark/>
          </w:tcPr>
          <w:p w14:paraId="134E5D03" w14:textId="77777777" w:rsidR="000113BB" w:rsidRPr="000113BB" w:rsidRDefault="000113BB" w:rsidP="000113BB">
            <w:pPr>
              <w:spacing w:after="120"/>
              <w:jc w:val="center"/>
              <w:rPr>
                <w:rFonts w:ascii="Garamond" w:hAnsi="Garamond"/>
                <w:bCs/>
                <w:sz w:val="20"/>
                <w:szCs w:val="20"/>
                <w:lang w:val="en-CA"/>
              </w:rPr>
            </w:pPr>
          </w:p>
        </w:tc>
        <w:tc>
          <w:tcPr>
            <w:tcW w:w="990" w:type="dxa"/>
            <w:tcBorders>
              <w:top w:val="single" w:sz="4" w:space="0" w:color="A6A6A6" w:themeColor="background1" w:themeShade="A6"/>
              <w:bottom w:val="single" w:sz="4" w:space="0" w:color="A6A6A6" w:themeColor="background1" w:themeShade="A6"/>
            </w:tcBorders>
            <w:hideMark/>
          </w:tcPr>
          <w:p w14:paraId="4052F7E2" w14:textId="77777777" w:rsidR="000113BB" w:rsidRPr="000113BB" w:rsidRDefault="000113BB" w:rsidP="000113BB">
            <w:pPr>
              <w:spacing w:after="120"/>
              <w:jc w:val="center"/>
              <w:rPr>
                <w:rFonts w:ascii="Garamond" w:hAnsi="Garamond"/>
                <w:bCs/>
                <w:sz w:val="20"/>
                <w:szCs w:val="20"/>
                <w:lang w:val="en-CA"/>
              </w:rPr>
            </w:pPr>
          </w:p>
        </w:tc>
        <w:tc>
          <w:tcPr>
            <w:tcW w:w="1080" w:type="dxa"/>
            <w:tcBorders>
              <w:top w:val="single" w:sz="4" w:space="0" w:color="A6A6A6" w:themeColor="background1" w:themeShade="A6"/>
              <w:bottom w:val="single" w:sz="4" w:space="0" w:color="A6A6A6" w:themeColor="background1" w:themeShade="A6"/>
            </w:tcBorders>
            <w:hideMark/>
          </w:tcPr>
          <w:p w14:paraId="49FC70FE" w14:textId="77777777" w:rsidR="000113BB" w:rsidRPr="000113BB" w:rsidRDefault="000113BB" w:rsidP="000113BB">
            <w:pPr>
              <w:spacing w:after="120"/>
              <w:jc w:val="center"/>
              <w:rPr>
                <w:rFonts w:ascii="Garamond" w:hAnsi="Garamond"/>
                <w:bCs/>
                <w:sz w:val="20"/>
                <w:szCs w:val="20"/>
                <w:lang w:val="en-CA"/>
              </w:rPr>
            </w:pPr>
          </w:p>
        </w:tc>
        <w:tc>
          <w:tcPr>
            <w:tcW w:w="990" w:type="dxa"/>
            <w:tcBorders>
              <w:top w:val="single" w:sz="4" w:space="0" w:color="A6A6A6" w:themeColor="background1" w:themeShade="A6"/>
              <w:bottom w:val="single" w:sz="4" w:space="0" w:color="A6A6A6" w:themeColor="background1" w:themeShade="A6"/>
            </w:tcBorders>
            <w:hideMark/>
          </w:tcPr>
          <w:p w14:paraId="74879C95" w14:textId="77777777" w:rsidR="000113BB" w:rsidRPr="000113BB" w:rsidRDefault="000113BB" w:rsidP="000113BB">
            <w:pPr>
              <w:spacing w:after="120"/>
              <w:jc w:val="center"/>
              <w:rPr>
                <w:rFonts w:ascii="Garamond" w:hAnsi="Garamond"/>
                <w:bCs/>
                <w:sz w:val="20"/>
                <w:szCs w:val="20"/>
                <w:lang w:val="en-CA"/>
              </w:rPr>
            </w:pPr>
          </w:p>
        </w:tc>
      </w:tr>
      <w:tr w:rsidR="000113BB" w:rsidRPr="000113BB" w14:paraId="641A5D76" w14:textId="77777777" w:rsidTr="003856DA">
        <w:trPr>
          <w:trHeight w:val="300"/>
        </w:trPr>
        <w:tc>
          <w:tcPr>
            <w:tcW w:w="2070" w:type="dxa"/>
            <w:tcBorders>
              <w:top w:val="single" w:sz="4" w:space="0" w:color="A6A6A6" w:themeColor="background1" w:themeShade="A6"/>
              <w:bottom w:val="single" w:sz="4" w:space="0" w:color="A6A6A6" w:themeColor="background1" w:themeShade="A6"/>
            </w:tcBorders>
            <w:hideMark/>
          </w:tcPr>
          <w:p w14:paraId="34CA9D1C" w14:textId="77777777" w:rsidR="000113BB" w:rsidRPr="000113BB" w:rsidRDefault="000113BB" w:rsidP="000113BB">
            <w:pPr>
              <w:spacing w:after="120"/>
              <w:rPr>
                <w:rFonts w:ascii="Garamond" w:hAnsi="Garamond"/>
                <w:bCs/>
                <w:sz w:val="20"/>
                <w:szCs w:val="20"/>
                <w:lang w:val="en-CA"/>
              </w:rPr>
            </w:pPr>
            <w:r w:rsidRPr="000113BB">
              <w:rPr>
                <w:rFonts w:ascii="Garamond" w:hAnsi="Garamond"/>
                <w:bCs/>
                <w:sz w:val="20"/>
                <w:szCs w:val="20"/>
                <w:lang w:val="en-CA"/>
              </w:rPr>
              <w:t>Chu et al. (2022)</w:t>
            </w:r>
          </w:p>
        </w:tc>
        <w:tc>
          <w:tcPr>
            <w:tcW w:w="1800" w:type="dxa"/>
            <w:tcBorders>
              <w:top w:val="single" w:sz="4" w:space="0" w:color="A6A6A6" w:themeColor="background1" w:themeShade="A6"/>
              <w:bottom w:val="single" w:sz="4" w:space="0" w:color="A6A6A6" w:themeColor="background1" w:themeShade="A6"/>
            </w:tcBorders>
            <w:hideMark/>
          </w:tcPr>
          <w:p w14:paraId="5BFA1CBA" w14:textId="77777777" w:rsidR="000113BB" w:rsidRPr="000113BB" w:rsidRDefault="000113BB" w:rsidP="000113BB">
            <w:pPr>
              <w:spacing w:after="120"/>
              <w:rPr>
                <w:rFonts w:ascii="Garamond" w:hAnsi="Garamond"/>
                <w:bCs/>
                <w:sz w:val="20"/>
                <w:szCs w:val="20"/>
                <w:lang w:val="en-CA"/>
              </w:rPr>
            </w:pPr>
            <w:r w:rsidRPr="000113BB">
              <w:rPr>
                <w:rFonts w:ascii="Garamond" w:hAnsi="Garamond"/>
                <w:bCs/>
                <w:sz w:val="20"/>
                <w:szCs w:val="20"/>
                <w:lang w:val="en-CA"/>
              </w:rPr>
              <w:t>U.S. undergrads</w:t>
            </w:r>
          </w:p>
        </w:tc>
        <w:tc>
          <w:tcPr>
            <w:tcW w:w="900" w:type="dxa"/>
            <w:tcBorders>
              <w:top w:val="single" w:sz="4" w:space="0" w:color="A6A6A6" w:themeColor="background1" w:themeShade="A6"/>
              <w:bottom w:val="single" w:sz="4" w:space="0" w:color="A6A6A6" w:themeColor="background1" w:themeShade="A6"/>
            </w:tcBorders>
            <w:hideMark/>
          </w:tcPr>
          <w:p w14:paraId="252CF871" w14:textId="77777777" w:rsidR="000113BB" w:rsidRPr="000113BB" w:rsidRDefault="000113BB" w:rsidP="000113BB">
            <w:pPr>
              <w:spacing w:after="120"/>
              <w:jc w:val="center"/>
              <w:rPr>
                <w:rFonts w:ascii="Garamond" w:hAnsi="Garamond"/>
                <w:bCs/>
                <w:sz w:val="20"/>
                <w:szCs w:val="20"/>
                <w:lang w:val="en-CA"/>
              </w:rPr>
            </w:pPr>
            <w:r w:rsidRPr="000113BB">
              <w:rPr>
                <w:rFonts w:ascii="Garamond" w:hAnsi="Garamond"/>
                <w:bCs/>
                <w:sz w:val="20"/>
                <w:szCs w:val="20"/>
                <w:lang w:val="en-CA"/>
              </w:rPr>
              <w:t>319</w:t>
            </w:r>
          </w:p>
        </w:tc>
        <w:tc>
          <w:tcPr>
            <w:tcW w:w="900" w:type="dxa"/>
            <w:tcBorders>
              <w:top w:val="single" w:sz="4" w:space="0" w:color="A6A6A6" w:themeColor="background1" w:themeShade="A6"/>
              <w:bottom w:val="single" w:sz="4" w:space="0" w:color="A6A6A6" w:themeColor="background1" w:themeShade="A6"/>
            </w:tcBorders>
            <w:hideMark/>
          </w:tcPr>
          <w:p w14:paraId="4943DDF8" w14:textId="77777777" w:rsidR="000113BB" w:rsidRPr="000113BB" w:rsidRDefault="000113BB" w:rsidP="000113BB">
            <w:pPr>
              <w:spacing w:after="120"/>
              <w:jc w:val="center"/>
              <w:rPr>
                <w:rFonts w:ascii="Garamond" w:hAnsi="Garamond"/>
                <w:bCs/>
                <w:sz w:val="20"/>
                <w:szCs w:val="20"/>
                <w:lang w:val="en-CA"/>
              </w:rPr>
            </w:pPr>
          </w:p>
        </w:tc>
        <w:tc>
          <w:tcPr>
            <w:tcW w:w="1170" w:type="dxa"/>
            <w:tcBorders>
              <w:top w:val="single" w:sz="4" w:space="0" w:color="A6A6A6" w:themeColor="background1" w:themeShade="A6"/>
              <w:bottom w:val="single" w:sz="4" w:space="0" w:color="A6A6A6" w:themeColor="background1" w:themeShade="A6"/>
            </w:tcBorders>
            <w:hideMark/>
          </w:tcPr>
          <w:p w14:paraId="4BA7418B" w14:textId="77777777" w:rsidR="000113BB" w:rsidRPr="000113BB" w:rsidRDefault="000113BB" w:rsidP="000113BB">
            <w:pPr>
              <w:spacing w:after="120"/>
              <w:jc w:val="center"/>
              <w:rPr>
                <w:rFonts w:ascii="Garamond" w:hAnsi="Garamond"/>
                <w:bCs/>
                <w:sz w:val="20"/>
                <w:szCs w:val="20"/>
                <w:lang w:val="en-CA"/>
              </w:rPr>
            </w:pPr>
            <w:r w:rsidRPr="000113BB">
              <w:rPr>
                <w:rFonts w:ascii="Segoe UI Symbol" w:hAnsi="Segoe UI Symbol" w:cs="Segoe UI Symbol"/>
                <w:bCs/>
                <w:sz w:val="20"/>
                <w:szCs w:val="20"/>
                <w:lang w:val="en-CA"/>
              </w:rPr>
              <w:t>✓</w:t>
            </w:r>
          </w:p>
        </w:tc>
        <w:tc>
          <w:tcPr>
            <w:tcW w:w="900" w:type="dxa"/>
            <w:tcBorders>
              <w:top w:val="single" w:sz="4" w:space="0" w:color="A6A6A6" w:themeColor="background1" w:themeShade="A6"/>
              <w:bottom w:val="single" w:sz="4" w:space="0" w:color="A6A6A6" w:themeColor="background1" w:themeShade="A6"/>
            </w:tcBorders>
            <w:hideMark/>
          </w:tcPr>
          <w:p w14:paraId="6A8A5227" w14:textId="77777777" w:rsidR="000113BB" w:rsidRPr="000113BB" w:rsidRDefault="000113BB" w:rsidP="000113BB">
            <w:pPr>
              <w:spacing w:after="120"/>
              <w:jc w:val="center"/>
              <w:rPr>
                <w:rFonts w:ascii="Garamond" w:hAnsi="Garamond"/>
                <w:bCs/>
                <w:sz w:val="20"/>
                <w:szCs w:val="20"/>
                <w:lang w:val="en-CA"/>
              </w:rPr>
            </w:pPr>
            <w:r w:rsidRPr="000113BB">
              <w:rPr>
                <w:rFonts w:ascii="Segoe UI Symbol" w:hAnsi="Segoe UI Symbol" w:cs="Segoe UI Symbol"/>
                <w:bCs/>
                <w:sz w:val="20"/>
                <w:szCs w:val="20"/>
                <w:lang w:val="en-CA"/>
              </w:rPr>
              <w:t>✓</w:t>
            </w:r>
          </w:p>
        </w:tc>
        <w:tc>
          <w:tcPr>
            <w:tcW w:w="990" w:type="dxa"/>
            <w:tcBorders>
              <w:top w:val="single" w:sz="4" w:space="0" w:color="A6A6A6" w:themeColor="background1" w:themeShade="A6"/>
              <w:bottom w:val="single" w:sz="4" w:space="0" w:color="A6A6A6" w:themeColor="background1" w:themeShade="A6"/>
            </w:tcBorders>
            <w:hideMark/>
          </w:tcPr>
          <w:p w14:paraId="577E8825" w14:textId="77777777" w:rsidR="000113BB" w:rsidRPr="000113BB" w:rsidRDefault="000113BB" w:rsidP="000113BB">
            <w:pPr>
              <w:spacing w:after="120"/>
              <w:jc w:val="center"/>
              <w:rPr>
                <w:rFonts w:ascii="Garamond" w:hAnsi="Garamond"/>
                <w:bCs/>
                <w:sz w:val="20"/>
                <w:szCs w:val="20"/>
                <w:lang w:val="en-CA"/>
              </w:rPr>
            </w:pPr>
          </w:p>
        </w:tc>
        <w:tc>
          <w:tcPr>
            <w:tcW w:w="900" w:type="dxa"/>
            <w:tcBorders>
              <w:top w:val="single" w:sz="4" w:space="0" w:color="A6A6A6" w:themeColor="background1" w:themeShade="A6"/>
              <w:bottom w:val="single" w:sz="4" w:space="0" w:color="A6A6A6" w:themeColor="background1" w:themeShade="A6"/>
            </w:tcBorders>
            <w:hideMark/>
          </w:tcPr>
          <w:p w14:paraId="2C39D573" w14:textId="77777777" w:rsidR="000113BB" w:rsidRPr="000113BB" w:rsidRDefault="000113BB" w:rsidP="000113BB">
            <w:pPr>
              <w:spacing w:after="120"/>
              <w:jc w:val="center"/>
              <w:rPr>
                <w:rFonts w:ascii="Garamond" w:hAnsi="Garamond"/>
                <w:bCs/>
                <w:sz w:val="20"/>
                <w:szCs w:val="20"/>
                <w:lang w:val="en-CA"/>
              </w:rPr>
            </w:pPr>
            <w:r w:rsidRPr="000113BB">
              <w:rPr>
                <w:rFonts w:ascii="Segoe UI Symbol" w:hAnsi="Segoe UI Symbol" w:cs="Segoe UI Symbol"/>
                <w:bCs/>
                <w:sz w:val="20"/>
                <w:szCs w:val="20"/>
                <w:lang w:val="en-CA"/>
              </w:rPr>
              <w:t>✓</w:t>
            </w:r>
          </w:p>
        </w:tc>
        <w:tc>
          <w:tcPr>
            <w:tcW w:w="900" w:type="dxa"/>
            <w:tcBorders>
              <w:top w:val="single" w:sz="4" w:space="0" w:color="A6A6A6" w:themeColor="background1" w:themeShade="A6"/>
              <w:bottom w:val="single" w:sz="4" w:space="0" w:color="A6A6A6" w:themeColor="background1" w:themeShade="A6"/>
            </w:tcBorders>
            <w:hideMark/>
          </w:tcPr>
          <w:p w14:paraId="41BE66BB" w14:textId="77777777" w:rsidR="000113BB" w:rsidRPr="000113BB" w:rsidRDefault="000113BB" w:rsidP="000113BB">
            <w:pPr>
              <w:spacing w:after="120"/>
              <w:jc w:val="center"/>
              <w:rPr>
                <w:rFonts w:ascii="Garamond" w:hAnsi="Garamond"/>
                <w:bCs/>
                <w:sz w:val="20"/>
                <w:szCs w:val="20"/>
                <w:lang w:val="en-CA"/>
              </w:rPr>
            </w:pPr>
          </w:p>
        </w:tc>
        <w:tc>
          <w:tcPr>
            <w:tcW w:w="990" w:type="dxa"/>
            <w:tcBorders>
              <w:top w:val="single" w:sz="4" w:space="0" w:color="A6A6A6" w:themeColor="background1" w:themeShade="A6"/>
              <w:bottom w:val="single" w:sz="4" w:space="0" w:color="A6A6A6" w:themeColor="background1" w:themeShade="A6"/>
            </w:tcBorders>
            <w:hideMark/>
          </w:tcPr>
          <w:p w14:paraId="4077F87D" w14:textId="77777777" w:rsidR="000113BB" w:rsidRPr="000113BB" w:rsidRDefault="000113BB" w:rsidP="000113BB">
            <w:pPr>
              <w:spacing w:after="120"/>
              <w:jc w:val="center"/>
              <w:rPr>
                <w:rFonts w:ascii="Garamond" w:hAnsi="Garamond"/>
                <w:bCs/>
                <w:sz w:val="20"/>
                <w:szCs w:val="20"/>
                <w:lang w:val="en-CA"/>
              </w:rPr>
            </w:pPr>
          </w:p>
        </w:tc>
        <w:tc>
          <w:tcPr>
            <w:tcW w:w="1080" w:type="dxa"/>
            <w:tcBorders>
              <w:top w:val="single" w:sz="4" w:space="0" w:color="A6A6A6" w:themeColor="background1" w:themeShade="A6"/>
              <w:bottom w:val="single" w:sz="4" w:space="0" w:color="A6A6A6" w:themeColor="background1" w:themeShade="A6"/>
            </w:tcBorders>
            <w:hideMark/>
          </w:tcPr>
          <w:p w14:paraId="5584A41B" w14:textId="77777777" w:rsidR="000113BB" w:rsidRPr="000113BB" w:rsidRDefault="000113BB" w:rsidP="000113BB">
            <w:pPr>
              <w:spacing w:after="120"/>
              <w:jc w:val="center"/>
              <w:rPr>
                <w:rFonts w:ascii="Garamond" w:hAnsi="Garamond"/>
                <w:bCs/>
                <w:sz w:val="20"/>
                <w:szCs w:val="20"/>
                <w:lang w:val="en-CA"/>
              </w:rPr>
            </w:pPr>
          </w:p>
        </w:tc>
        <w:tc>
          <w:tcPr>
            <w:tcW w:w="990" w:type="dxa"/>
            <w:tcBorders>
              <w:top w:val="single" w:sz="4" w:space="0" w:color="A6A6A6" w:themeColor="background1" w:themeShade="A6"/>
              <w:bottom w:val="single" w:sz="4" w:space="0" w:color="A6A6A6" w:themeColor="background1" w:themeShade="A6"/>
            </w:tcBorders>
            <w:hideMark/>
          </w:tcPr>
          <w:p w14:paraId="5C9891B3" w14:textId="77777777" w:rsidR="000113BB" w:rsidRPr="000113BB" w:rsidRDefault="000113BB" w:rsidP="000113BB">
            <w:pPr>
              <w:spacing w:after="120"/>
              <w:jc w:val="center"/>
              <w:rPr>
                <w:rFonts w:ascii="Garamond" w:hAnsi="Garamond"/>
                <w:bCs/>
                <w:sz w:val="20"/>
                <w:szCs w:val="20"/>
                <w:lang w:val="en-CA"/>
              </w:rPr>
            </w:pPr>
          </w:p>
        </w:tc>
      </w:tr>
      <w:tr w:rsidR="000113BB" w:rsidRPr="000113BB" w14:paraId="6DD2E4BC" w14:textId="77777777" w:rsidTr="003856DA">
        <w:trPr>
          <w:trHeight w:val="300"/>
        </w:trPr>
        <w:tc>
          <w:tcPr>
            <w:tcW w:w="2070" w:type="dxa"/>
            <w:tcBorders>
              <w:top w:val="single" w:sz="4" w:space="0" w:color="A6A6A6" w:themeColor="background1" w:themeShade="A6"/>
              <w:bottom w:val="single" w:sz="4" w:space="0" w:color="A6A6A6" w:themeColor="background1" w:themeShade="A6"/>
            </w:tcBorders>
            <w:hideMark/>
          </w:tcPr>
          <w:p w14:paraId="6280651C" w14:textId="77777777" w:rsidR="000113BB" w:rsidRPr="000113BB" w:rsidRDefault="000113BB" w:rsidP="000113BB">
            <w:pPr>
              <w:spacing w:after="120"/>
              <w:rPr>
                <w:rFonts w:ascii="Garamond" w:hAnsi="Garamond"/>
                <w:bCs/>
                <w:sz w:val="20"/>
                <w:szCs w:val="20"/>
                <w:lang w:val="en-CA"/>
              </w:rPr>
            </w:pPr>
            <w:r w:rsidRPr="000113BB">
              <w:rPr>
                <w:rFonts w:ascii="Garamond" w:hAnsi="Garamond"/>
                <w:bCs/>
                <w:sz w:val="20"/>
                <w:szCs w:val="20"/>
                <w:lang w:val="en-CA"/>
              </w:rPr>
              <w:t>Dik &amp; Hansen (2004)</w:t>
            </w:r>
          </w:p>
        </w:tc>
        <w:tc>
          <w:tcPr>
            <w:tcW w:w="1800" w:type="dxa"/>
            <w:tcBorders>
              <w:top w:val="single" w:sz="4" w:space="0" w:color="A6A6A6" w:themeColor="background1" w:themeShade="A6"/>
              <w:bottom w:val="single" w:sz="4" w:space="0" w:color="A6A6A6" w:themeColor="background1" w:themeShade="A6"/>
            </w:tcBorders>
            <w:hideMark/>
          </w:tcPr>
          <w:p w14:paraId="72B3DCED" w14:textId="77777777" w:rsidR="000113BB" w:rsidRPr="000113BB" w:rsidRDefault="000113BB" w:rsidP="000113BB">
            <w:pPr>
              <w:spacing w:after="120"/>
              <w:rPr>
                <w:rFonts w:ascii="Garamond" w:hAnsi="Garamond"/>
                <w:bCs/>
                <w:sz w:val="20"/>
                <w:szCs w:val="20"/>
                <w:lang w:val="en-CA"/>
              </w:rPr>
            </w:pPr>
            <w:r w:rsidRPr="000113BB">
              <w:rPr>
                <w:rFonts w:ascii="Garamond" w:hAnsi="Garamond"/>
                <w:bCs/>
                <w:sz w:val="20"/>
                <w:szCs w:val="20"/>
                <w:lang w:val="en-CA"/>
              </w:rPr>
              <w:t>U.S. working adults</w:t>
            </w:r>
          </w:p>
        </w:tc>
        <w:tc>
          <w:tcPr>
            <w:tcW w:w="900" w:type="dxa"/>
            <w:tcBorders>
              <w:top w:val="single" w:sz="4" w:space="0" w:color="A6A6A6" w:themeColor="background1" w:themeShade="A6"/>
              <w:bottom w:val="single" w:sz="4" w:space="0" w:color="A6A6A6" w:themeColor="background1" w:themeShade="A6"/>
            </w:tcBorders>
            <w:hideMark/>
          </w:tcPr>
          <w:p w14:paraId="792F76AA" w14:textId="77777777" w:rsidR="000113BB" w:rsidRPr="000113BB" w:rsidRDefault="000113BB" w:rsidP="000113BB">
            <w:pPr>
              <w:spacing w:after="120"/>
              <w:jc w:val="center"/>
              <w:rPr>
                <w:rFonts w:ascii="Garamond" w:hAnsi="Garamond"/>
                <w:bCs/>
                <w:sz w:val="20"/>
                <w:szCs w:val="20"/>
                <w:lang w:val="en-CA"/>
              </w:rPr>
            </w:pPr>
            <w:r w:rsidRPr="000113BB">
              <w:rPr>
                <w:rFonts w:ascii="Garamond" w:hAnsi="Garamond"/>
                <w:bCs/>
                <w:sz w:val="20"/>
                <w:szCs w:val="20"/>
                <w:lang w:val="en-CA"/>
              </w:rPr>
              <w:t>6099</w:t>
            </w:r>
          </w:p>
        </w:tc>
        <w:tc>
          <w:tcPr>
            <w:tcW w:w="900" w:type="dxa"/>
            <w:tcBorders>
              <w:top w:val="single" w:sz="4" w:space="0" w:color="A6A6A6" w:themeColor="background1" w:themeShade="A6"/>
              <w:bottom w:val="single" w:sz="4" w:space="0" w:color="A6A6A6" w:themeColor="background1" w:themeShade="A6"/>
            </w:tcBorders>
            <w:hideMark/>
          </w:tcPr>
          <w:p w14:paraId="2CE860A7" w14:textId="77777777" w:rsidR="000113BB" w:rsidRPr="000113BB" w:rsidRDefault="000113BB" w:rsidP="000113BB">
            <w:pPr>
              <w:spacing w:after="120"/>
              <w:jc w:val="center"/>
              <w:rPr>
                <w:rFonts w:ascii="Garamond" w:hAnsi="Garamond"/>
                <w:bCs/>
                <w:sz w:val="20"/>
                <w:szCs w:val="20"/>
                <w:lang w:val="en-CA"/>
              </w:rPr>
            </w:pPr>
          </w:p>
        </w:tc>
        <w:tc>
          <w:tcPr>
            <w:tcW w:w="1170" w:type="dxa"/>
            <w:tcBorders>
              <w:top w:val="single" w:sz="4" w:space="0" w:color="A6A6A6" w:themeColor="background1" w:themeShade="A6"/>
              <w:bottom w:val="single" w:sz="4" w:space="0" w:color="A6A6A6" w:themeColor="background1" w:themeShade="A6"/>
            </w:tcBorders>
            <w:hideMark/>
          </w:tcPr>
          <w:p w14:paraId="69D0BB1C" w14:textId="77777777" w:rsidR="000113BB" w:rsidRPr="000113BB" w:rsidRDefault="000113BB" w:rsidP="000113BB">
            <w:pPr>
              <w:spacing w:after="120"/>
              <w:jc w:val="center"/>
              <w:rPr>
                <w:rFonts w:ascii="Garamond" w:hAnsi="Garamond"/>
                <w:bCs/>
                <w:sz w:val="20"/>
                <w:szCs w:val="20"/>
                <w:lang w:val="en-CA"/>
              </w:rPr>
            </w:pPr>
            <w:r w:rsidRPr="000113BB">
              <w:rPr>
                <w:rFonts w:ascii="Segoe UI Symbol" w:hAnsi="Segoe UI Symbol" w:cs="Segoe UI Symbol"/>
                <w:bCs/>
                <w:sz w:val="20"/>
                <w:szCs w:val="20"/>
                <w:lang w:val="en-CA"/>
              </w:rPr>
              <w:t>✓</w:t>
            </w:r>
          </w:p>
        </w:tc>
        <w:tc>
          <w:tcPr>
            <w:tcW w:w="900" w:type="dxa"/>
            <w:tcBorders>
              <w:top w:val="single" w:sz="4" w:space="0" w:color="A6A6A6" w:themeColor="background1" w:themeShade="A6"/>
              <w:bottom w:val="single" w:sz="4" w:space="0" w:color="A6A6A6" w:themeColor="background1" w:themeShade="A6"/>
            </w:tcBorders>
            <w:hideMark/>
          </w:tcPr>
          <w:p w14:paraId="07A71637" w14:textId="77777777" w:rsidR="000113BB" w:rsidRPr="000113BB" w:rsidRDefault="000113BB" w:rsidP="000113BB">
            <w:pPr>
              <w:spacing w:after="120"/>
              <w:jc w:val="center"/>
              <w:rPr>
                <w:rFonts w:ascii="Garamond" w:hAnsi="Garamond"/>
                <w:bCs/>
                <w:sz w:val="20"/>
                <w:szCs w:val="20"/>
                <w:lang w:val="en-CA"/>
              </w:rPr>
            </w:pPr>
          </w:p>
        </w:tc>
        <w:tc>
          <w:tcPr>
            <w:tcW w:w="990" w:type="dxa"/>
            <w:tcBorders>
              <w:top w:val="single" w:sz="4" w:space="0" w:color="A6A6A6" w:themeColor="background1" w:themeShade="A6"/>
              <w:bottom w:val="single" w:sz="4" w:space="0" w:color="A6A6A6" w:themeColor="background1" w:themeShade="A6"/>
            </w:tcBorders>
            <w:hideMark/>
          </w:tcPr>
          <w:p w14:paraId="300BE4D1" w14:textId="77777777" w:rsidR="000113BB" w:rsidRPr="000113BB" w:rsidRDefault="000113BB" w:rsidP="000113BB">
            <w:pPr>
              <w:spacing w:after="120"/>
              <w:jc w:val="center"/>
              <w:rPr>
                <w:rFonts w:ascii="Garamond" w:hAnsi="Garamond"/>
                <w:bCs/>
                <w:sz w:val="20"/>
                <w:szCs w:val="20"/>
                <w:lang w:val="en-CA"/>
              </w:rPr>
            </w:pPr>
          </w:p>
        </w:tc>
        <w:tc>
          <w:tcPr>
            <w:tcW w:w="900" w:type="dxa"/>
            <w:tcBorders>
              <w:top w:val="single" w:sz="4" w:space="0" w:color="A6A6A6" w:themeColor="background1" w:themeShade="A6"/>
              <w:bottom w:val="single" w:sz="4" w:space="0" w:color="A6A6A6" w:themeColor="background1" w:themeShade="A6"/>
            </w:tcBorders>
            <w:hideMark/>
          </w:tcPr>
          <w:p w14:paraId="5355FF8A" w14:textId="77777777" w:rsidR="000113BB" w:rsidRPr="000113BB" w:rsidRDefault="000113BB" w:rsidP="000113BB">
            <w:pPr>
              <w:spacing w:after="120"/>
              <w:jc w:val="center"/>
              <w:rPr>
                <w:rFonts w:ascii="Garamond" w:hAnsi="Garamond"/>
                <w:bCs/>
                <w:sz w:val="20"/>
                <w:szCs w:val="20"/>
                <w:lang w:val="en-CA"/>
              </w:rPr>
            </w:pPr>
          </w:p>
        </w:tc>
        <w:tc>
          <w:tcPr>
            <w:tcW w:w="900" w:type="dxa"/>
            <w:tcBorders>
              <w:top w:val="single" w:sz="4" w:space="0" w:color="A6A6A6" w:themeColor="background1" w:themeShade="A6"/>
              <w:bottom w:val="single" w:sz="4" w:space="0" w:color="A6A6A6" w:themeColor="background1" w:themeShade="A6"/>
            </w:tcBorders>
            <w:hideMark/>
          </w:tcPr>
          <w:p w14:paraId="25393444" w14:textId="77777777" w:rsidR="000113BB" w:rsidRPr="000113BB" w:rsidRDefault="000113BB" w:rsidP="000113BB">
            <w:pPr>
              <w:spacing w:after="120"/>
              <w:jc w:val="center"/>
              <w:rPr>
                <w:rFonts w:ascii="Garamond" w:hAnsi="Garamond"/>
                <w:bCs/>
                <w:sz w:val="20"/>
                <w:szCs w:val="20"/>
                <w:lang w:val="en-CA"/>
              </w:rPr>
            </w:pPr>
          </w:p>
        </w:tc>
        <w:tc>
          <w:tcPr>
            <w:tcW w:w="990" w:type="dxa"/>
            <w:tcBorders>
              <w:top w:val="single" w:sz="4" w:space="0" w:color="A6A6A6" w:themeColor="background1" w:themeShade="A6"/>
              <w:bottom w:val="single" w:sz="4" w:space="0" w:color="A6A6A6" w:themeColor="background1" w:themeShade="A6"/>
            </w:tcBorders>
            <w:hideMark/>
          </w:tcPr>
          <w:p w14:paraId="1E96D418" w14:textId="77777777" w:rsidR="000113BB" w:rsidRPr="000113BB" w:rsidRDefault="000113BB" w:rsidP="000113BB">
            <w:pPr>
              <w:spacing w:after="120"/>
              <w:jc w:val="center"/>
              <w:rPr>
                <w:rFonts w:ascii="Garamond" w:hAnsi="Garamond"/>
                <w:bCs/>
                <w:sz w:val="20"/>
                <w:szCs w:val="20"/>
                <w:lang w:val="en-CA"/>
              </w:rPr>
            </w:pPr>
            <w:r w:rsidRPr="000113BB">
              <w:rPr>
                <w:rFonts w:ascii="Segoe UI Symbol" w:hAnsi="Segoe UI Symbol" w:cs="Segoe UI Symbol"/>
                <w:bCs/>
                <w:sz w:val="20"/>
                <w:szCs w:val="20"/>
                <w:lang w:val="en-CA"/>
              </w:rPr>
              <w:t>✓</w:t>
            </w:r>
          </w:p>
        </w:tc>
        <w:tc>
          <w:tcPr>
            <w:tcW w:w="1080" w:type="dxa"/>
            <w:tcBorders>
              <w:top w:val="single" w:sz="4" w:space="0" w:color="A6A6A6" w:themeColor="background1" w:themeShade="A6"/>
              <w:bottom w:val="single" w:sz="4" w:space="0" w:color="A6A6A6" w:themeColor="background1" w:themeShade="A6"/>
            </w:tcBorders>
            <w:hideMark/>
          </w:tcPr>
          <w:p w14:paraId="1B5369D3" w14:textId="77777777" w:rsidR="000113BB" w:rsidRPr="000113BB" w:rsidRDefault="000113BB" w:rsidP="000113BB">
            <w:pPr>
              <w:spacing w:after="120"/>
              <w:jc w:val="center"/>
              <w:rPr>
                <w:rFonts w:ascii="Garamond" w:hAnsi="Garamond"/>
                <w:bCs/>
                <w:sz w:val="20"/>
                <w:szCs w:val="20"/>
                <w:lang w:val="en-CA"/>
              </w:rPr>
            </w:pPr>
          </w:p>
        </w:tc>
        <w:tc>
          <w:tcPr>
            <w:tcW w:w="990" w:type="dxa"/>
            <w:tcBorders>
              <w:top w:val="single" w:sz="4" w:space="0" w:color="A6A6A6" w:themeColor="background1" w:themeShade="A6"/>
              <w:bottom w:val="single" w:sz="4" w:space="0" w:color="A6A6A6" w:themeColor="background1" w:themeShade="A6"/>
            </w:tcBorders>
            <w:hideMark/>
          </w:tcPr>
          <w:p w14:paraId="6A0F739B" w14:textId="77777777" w:rsidR="000113BB" w:rsidRPr="000113BB" w:rsidRDefault="000113BB" w:rsidP="000113BB">
            <w:pPr>
              <w:spacing w:after="120"/>
              <w:jc w:val="center"/>
              <w:rPr>
                <w:rFonts w:ascii="Garamond" w:hAnsi="Garamond"/>
                <w:bCs/>
                <w:sz w:val="20"/>
                <w:szCs w:val="20"/>
                <w:lang w:val="en-CA"/>
              </w:rPr>
            </w:pPr>
          </w:p>
        </w:tc>
      </w:tr>
      <w:tr w:rsidR="000113BB" w:rsidRPr="000113BB" w14:paraId="4847464E" w14:textId="77777777" w:rsidTr="003856DA">
        <w:trPr>
          <w:trHeight w:val="600"/>
        </w:trPr>
        <w:tc>
          <w:tcPr>
            <w:tcW w:w="2070" w:type="dxa"/>
            <w:tcBorders>
              <w:top w:val="single" w:sz="4" w:space="0" w:color="A6A6A6" w:themeColor="background1" w:themeShade="A6"/>
              <w:bottom w:val="single" w:sz="4" w:space="0" w:color="A6A6A6" w:themeColor="background1" w:themeShade="A6"/>
            </w:tcBorders>
            <w:hideMark/>
          </w:tcPr>
          <w:p w14:paraId="4E9E01EC" w14:textId="77777777" w:rsidR="000113BB" w:rsidRPr="000113BB" w:rsidRDefault="000113BB" w:rsidP="000113BB">
            <w:pPr>
              <w:spacing w:after="120"/>
              <w:rPr>
                <w:rFonts w:ascii="Garamond" w:hAnsi="Garamond"/>
                <w:bCs/>
                <w:sz w:val="20"/>
                <w:szCs w:val="20"/>
                <w:lang w:val="en-CA"/>
              </w:rPr>
            </w:pPr>
            <w:r w:rsidRPr="000113BB">
              <w:rPr>
                <w:rFonts w:ascii="Garamond" w:hAnsi="Garamond"/>
                <w:bCs/>
                <w:sz w:val="20"/>
                <w:szCs w:val="20"/>
                <w:lang w:val="en-CA"/>
              </w:rPr>
              <w:t>Einarsdóttir &amp; Rounds (2009)</w:t>
            </w:r>
          </w:p>
        </w:tc>
        <w:tc>
          <w:tcPr>
            <w:tcW w:w="1800" w:type="dxa"/>
            <w:tcBorders>
              <w:top w:val="single" w:sz="4" w:space="0" w:color="A6A6A6" w:themeColor="background1" w:themeShade="A6"/>
              <w:bottom w:val="single" w:sz="4" w:space="0" w:color="A6A6A6" w:themeColor="background1" w:themeShade="A6"/>
            </w:tcBorders>
            <w:hideMark/>
          </w:tcPr>
          <w:p w14:paraId="1EBC9DB8" w14:textId="77777777" w:rsidR="000113BB" w:rsidRPr="000113BB" w:rsidRDefault="000113BB" w:rsidP="000113BB">
            <w:pPr>
              <w:spacing w:after="120"/>
              <w:rPr>
                <w:rFonts w:ascii="Garamond" w:hAnsi="Garamond"/>
                <w:bCs/>
                <w:sz w:val="20"/>
                <w:szCs w:val="20"/>
                <w:lang w:val="en-CA"/>
              </w:rPr>
            </w:pPr>
            <w:r w:rsidRPr="000113BB">
              <w:rPr>
                <w:rFonts w:ascii="Garamond" w:hAnsi="Garamond"/>
                <w:bCs/>
                <w:sz w:val="20"/>
                <w:szCs w:val="20"/>
                <w:lang w:val="en-CA"/>
              </w:rPr>
              <w:t>U.S. college students</w:t>
            </w:r>
          </w:p>
        </w:tc>
        <w:tc>
          <w:tcPr>
            <w:tcW w:w="900" w:type="dxa"/>
            <w:tcBorders>
              <w:top w:val="single" w:sz="4" w:space="0" w:color="A6A6A6" w:themeColor="background1" w:themeShade="A6"/>
              <w:bottom w:val="single" w:sz="4" w:space="0" w:color="A6A6A6" w:themeColor="background1" w:themeShade="A6"/>
            </w:tcBorders>
            <w:hideMark/>
          </w:tcPr>
          <w:p w14:paraId="44FB4D4C" w14:textId="77777777" w:rsidR="000113BB" w:rsidRPr="000113BB" w:rsidRDefault="000113BB" w:rsidP="000113BB">
            <w:pPr>
              <w:spacing w:after="120"/>
              <w:jc w:val="center"/>
              <w:rPr>
                <w:rFonts w:ascii="Garamond" w:hAnsi="Garamond"/>
                <w:bCs/>
                <w:sz w:val="20"/>
                <w:szCs w:val="20"/>
                <w:lang w:val="en-CA"/>
              </w:rPr>
            </w:pPr>
            <w:r w:rsidRPr="000113BB">
              <w:rPr>
                <w:rFonts w:ascii="Garamond" w:hAnsi="Garamond"/>
                <w:bCs/>
                <w:sz w:val="20"/>
                <w:szCs w:val="20"/>
                <w:lang w:val="en-CA"/>
              </w:rPr>
              <w:t>2965</w:t>
            </w:r>
          </w:p>
        </w:tc>
        <w:tc>
          <w:tcPr>
            <w:tcW w:w="900" w:type="dxa"/>
            <w:tcBorders>
              <w:top w:val="single" w:sz="4" w:space="0" w:color="A6A6A6" w:themeColor="background1" w:themeShade="A6"/>
              <w:bottom w:val="single" w:sz="4" w:space="0" w:color="A6A6A6" w:themeColor="background1" w:themeShade="A6"/>
            </w:tcBorders>
            <w:hideMark/>
          </w:tcPr>
          <w:p w14:paraId="77D131F3" w14:textId="77777777" w:rsidR="000113BB" w:rsidRPr="000113BB" w:rsidRDefault="000113BB" w:rsidP="000113BB">
            <w:pPr>
              <w:spacing w:after="120"/>
              <w:jc w:val="center"/>
              <w:rPr>
                <w:rFonts w:ascii="Garamond" w:hAnsi="Garamond"/>
                <w:bCs/>
                <w:sz w:val="20"/>
                <w:szCs w:val="20"/>
                <w:lang w:val="en-CA"/>
              </w:rPr>
            </w:pPr>
            <w:r w:rsidRPr="000113BB">
              <w:rPr>
                <w:rFonts w:ascii="Segoe UI Symbol" w:hAnsi="Segoe UI Symbol" w:cs="Segoe UI Symbol"/>
                <w:bCs/>
                <w:sz w:val="20"/>
                <w:szCs w:val="20"/>
                <w:lang w:val="en-CA"/>
              </w:rPr>
              <w:t>✓</w:t>
            </w:r>
          </w:p>
        </w:tc>
        <w:tc>
          <w:tcPr>
            <w:tcW w:w="1170" w:type="dxa"/>
            <w:tcBorders>
              <w:top w:val="single" w:sz="4" w:space="0" w:color="A6A6A6" w:themeColor="background1" w:themeShade="A6"/>
              <w:bottom w:val="single" w:sz="4" w:space="0" w:color="A6A6A6" w:themeColor="background1" w:themeShade="A6"/>
            </w:tcBorders>
            <w:hideMark/>
          </w:tcPr>
          <w:p w14:paraId="2F763336" w14:textId="77777777" w:rsidR="000113BB" w:rsidRPr="000113BB" w:rsidRDefault="000113BB" w:rsidP="000113BB">
            <w:pPr>
              <w:spacing w:after="120"/>
              <w:jc w:val="center"/>
              <w:rPr>
                <w:rFonts w:ascii="Garamond" w:hAnsi="Garamond"/>
                <w:bCs/>
                <w:sz w:val="20"/>
                <w:szCs w:val="20"/>
                <w:lang w:val="en-CA"/>
              </w:rPr>
            </w:pPr>
            <w:r w:rsidRPr="000113BB">
              <w:rPr>
                <w:rFonts w:ascii="Segoe UI Symbol" w:hAnsi="Segoe UI Symbol" w:cs="Segoe UI Symbol"/>
                <w:bCs/>
                <w:sz w:val="20"/>
                <w:szCs w:val="20"/>
                <w:lang w:val="en-CA"/>
              </w:rPr>
              <w:t>✓</w:t>
            </w:r>
          </w:p>
        </w:tc>
        <w:tc>
          <w:tcPr>
            <w:tcW w:w="900" w:type="dxa"/>
            <w:tcBorders>
              <w:top w:val="single" w:sz="4" w:space="0" w:color="A6A6A6" w:themeColor="background1" w:themeShade="A6"/>
              <w:bottom w:val="single" w:sz="4" w:space="0" w:color="A6A6A6" w:themeColor="background1" w:themeShade="A6"/>
            </w:tcBorders>
            <w:hideMark/>
          </w:tcPr>
          <w:p w14:paraId="649762BA" w14:textId="77777777" w:rsidR="000113BB" w:rsidRPr="000113BB" w:rsidRDefault="000113BB" w:rsidP="000113BB">
            <w:pPr>
              <w:spacing w:after="120"/>
              <w:jc w:val="center"/>
              <w:rPr>
                <w:rFonts w:ascii="Garamond" w:hAnsi="Garamond"/>
                <w:bCs/>
                <w:sz w:val="20"/>
                <w:szCs w:val="20"/>
                <w:lang w:val="en-CA"/>
              </w:rPr>
            </w:pPr>
          </w:p>
        </w:tc>
        <w:tc>
          <w:tcPr>
            <w:tcW w:w="990" w:type="dxa"/>
            <w:tcBorders>
              <w:top w:val="single" w:sz="4" w:space="0" w:color="A6A6A6" w:themeColor="background1" w:themeShade="A6"/>
              <w:bottom w:val="single" w:sz="4" w:space="0" w:color="A6A6A6" w:themeColor="background1" w:themeShade="A6"/>
            </w:tcBorders>
            <w:hideMark/>
          </w:tcPr>
          <w:p w14:paraId="1EB357AF" w14:textId="77777777" w:rsidR="000113BB" w:rsidRPr="000113BB" w:rsidRDefault="000113BB" w:rsidP="000113BB">
            <w:pPr>
              <w:spacing w:after="120"/>
              <w:jc w:val="center"/>
              <w:rPr>
                <w:rFonts w:ascii="Garamond" w:hAnsi="Garamond"/>
                <w:bCs/>
                <w:sz w:val="20"/>
                <w:szCs w:val="20"/>
                <w:lang w:val="en-CA"/>
              </w:rPr>
            </w:pPr>
            <w:r w:rsidRPr="000113BB">
              <w:rPr>
                <w:rFonts w:ascii="Segoe UI Symbol" w:hAnsi="Segoe UI Symbol" w:cs="Segoe UI Symbol"/>
                <w:bCs/>
                <w:sz w:val="20"/>
                <w:szCs w:val="20"/>
                <w:lang w:val="en-CA"/>
              </w:rPr>
              <w:t>✓</w:t>
            </w:r>
          </w:p>
        </w:tc>
        <w:tc>
          <w:tcPr>
            <w:tcW w:w="900" w:type="dxa"/>
            <w:tcBorders>
              <w:top w:val="single" w:sz="4" w:space="0" w:color="A6A6A6" w:themeColor="background1" w:themeShade="A6"/>
              <w:bottom w:val="single" w:sz="4" w:space="0" w:color="A6A6A6" w:themeColor="background1" w:themeShade="A6"/>
            </w:tcBorders>
            <w:hideMark/>
          </w:tcPr>
          <w:p w14:paraId="61378D71" w14:textId="77777777" w:rsidR="000113BB" w:rsidRPr="000113BB" w:rsidRDefault="000113BB" w:rsidP="000113BB">
            <w:pPr>
              <w:spacing w:after="120"/>
              <w:jc w:val="center"/>
              <w:rPr>
                <w:rFonts w:ascii="Garamond" w:hAnsi="Garamond"/>
                <w:bCs/>
                <w:sz w:val="20"/>
                <w:szCs w:val="20"/>
                <w:lang w:val="en-CA"/>
              </w:rPr>
            </w:pPr>
          </w:p>
        </w:tc>
        <w:tc>
          <w:tcPr>
            <w:tcW w:w="900" w:type="dxa"/>
            <w:tcBorders>
              <w:top w:val="single" w:sz="4" w:space="0" w:color="A6A6A6" w:themeColor="background1" w:themeShade="A6"/>
              <w:bottom w:val="single" w:sz="4" w:space="0" w:color="A6A6A6" w:themeColor="background1" w:themeShade="A6"/>
            </w:tcBorders>
            <w:hideMark/>
          </w:tcPr>
          <w:p w14:paraId="2B3A2316" w14:textId="77777777" w:rsidR="000113BB" w:rsidRPr="000113BB" w:rsidRDefault="000113BB" w:rsidP="000113BB">
            <w:pPr>
              <w:spacing w:after="120"/>
              <w:jc w:val="center"/>
              <w:rPr>
                <w:rFonts w:ascii="Garamond" w:hAnsi="Garamond"/>
                <w:bCs/>
                <w:sz w:val="20"/>
                <w:szCs w:val="20"/>
                <w:lang w:val="en-CA"/>
              </w:rPr>
            </w:pPr>
            <w:r w:rsidRPr="000113BB">
              <w:rPr>
                <w:rFonts w:ascii="Segoe UI Symbol" w:hAnsi="Segoe UI Symbol" w:cs="Segoe UI Symbol"/>
                <w:bCs/>
                <w:sz w:val="20"/>
                <w:szCs w:val="20"/>
                <w:lang w:val="en-CA"/>
              </w:rPr>
              <w:t>✓</w:t>
            </w:r>
          </w:p>
        </w:tc>
        <w:tc>
          <w:tcPr>
            <w:tcW w:w="990" w:type="dxa"/>
            <w:tcBorders>
              <w:top w:val="single" w:sz="4" w:space="0" w:color="A6A6A6" w:themeColor="background1" w:themeShade="A6"/>
              <w:bottom w:val="single" w:sz="4" w:space="0" w:color="A6A6A6" w:themeColor="background1" w:themeShade="A6"/>
            </w:tcBorders>
            <w:hideMark/>
          </w:tcPr>
          <w:p w14:paraId="7060C035" w14:textId="77777777" w:rsidR="000113BB" w:rsidRPr="000113BB" w:rsidRDefault="000113BB" w:rsidP="000113BB">
            <w:pPr>
              <w:spacing w:after="120"/>
              <w:jc w:val="center"/>
              <w:rPr>
                <w:rFonts w:ascii="Garamond" w:hAnsi="Garamond"/>
                <w:bCs/>
                <w:sz w:val="20"/>
                <w:szCs w:val="20"/>
                <w:lang w:val="en-CA"/>
              </w:rPr>
            </w:pPr>
          </w:p>
        </w:tc>
        <w:tc>
          <w:tcPr>
            <w:tcW w:w="1080" w:type="dxa"/>
            <w:tcBorders>
              <w:top w:val="single" w:sz="4" w:space="0" w:color="A6A6A6" w:themeColor="background1" w:themeShade="A6"/>
              <w:bottom w:val="single" w:sz="4" w:space="0" w:color="A6A6A6" w:themeColor="background1" w:themeShade="A6"/>
            </w:tcBorders>
            <w:hideMark/>
          </w:tcPr>
          <w:p w14:paraId="4ABA9A74" w14:textId="77777777" w:rsidR="000113BB" w:rsidRPr="000113BB" w:rsidRDefault="000113BB" w:rsidP="000113BB">
            <w:pPr>
              <w:spacing w:after="120"/>
              <w:jc w:val="center"/>
              <w:rPr>
                <w:rFonts w:ascii="Garamond" w:hAnsi="Garamond"/>
                <w:bCs/>
                <w:sz w:val="20"/>
                <w:szCs w:val="20"/>
                <w:lang w:val="en-CA"/>
              </w:rPr>
            </w:pPr>
          </w:p>
        </w:tc>
        <w:tc>
          <w:tcPr>
            <w:tcW w:w="990" w:type="dxa"/>
            <w:tcBorders>
              <w:top w:val="single" w:sz="4" w:space="0" w:color="A6A6A6" w:themeColor="background1" w:themeShade="A6"/>
              <w:bottom w:val="single" w:sz="4" w:space="0" w:color="A6A6A6" w:themeColor="background1" w:themeShade="A6"/>
            </w:tcBorders>
            <w:hideMark/>
          </w:tcPr>
          <w:p w14:paraId="73C42EE0" w14:textId="77777777" w:rsidR="000113BB" w:rsidRPr="000113BB" w:rsidRDefault="000113BB" w:rsidP="000113BB">
            <w:pPr>
              <w:spacing w:after="120"/>
              <w:jc w:val="center"/>
              <w:rPr>
                <w:rFonts w:ascii="Garamond" w:hAnsi="Garamond"/>
                <w:bCs/>
                <w:sz w:val="20"/>
                <w:szCs w:val="20"/>
                <w:lang w:val="en-CA"/>
              </w:rPr>
            </w:pPr>
            <w:r w:rsidRPr="000113BB">
              <w:rPr>
                <w:rFonts w:ascii="Segoe UI Symbol" w:hAnsi="Segoe UI Symbol" w:cs="Segoe UI Symbol"/>
                <w:bCs/>
                <w:sz w:val="20"/>
                <w:szCs w:val="20"/>
                <w:lang w:val="en-CA"/>
              </w:rPr>
              <w:t>✓</w:t>
            </w:r>
          </w:p>
        </w:tc>
      </w:tr>
      <w:tr w:rsidR="000113BB" w:rsidRPr="000113BB" w14:paraId="65662E28" w14:textId="77777777" w:rsidTr="003856DA">
        <w:trPr>
          <w:trHeight w:val="600"/>
        </w:trPr>
        <w:tc>
          <w:tcPr>
            <w:tcW w:w="2070" w:type="dxa"/>
            <w:tcBorders>
              <w:top w:val="single" w:sz="4" w:space="0" w:color="A6A6A6" w:themeColor="background1" w:themeShade="A6"/>
              <w:bottom w:val="single" w:sz="4" w:space="0" w:color="A6A6A6" w:themeColor="background1" w:themeShade="A6"/>
            </w:tcBorders>
            <w:hideMark/>
          </w:tcPr>
          <w:p w14:paraId="7160ECA2" w14:textId="77777777" w:rsidR="000113BB" w:rsidRPr="000113BB" w:rsidRDefault="000113BB" w:rsidP="000113BB">
            <w:pPr>
              <w:spacing w:after="120"/>
              <w:rPr>
                <w:rFonts w:ascii="Garamond" w:hAnsi="Garamond"/>
                <w:bCs/>
                <w:sz w:val="20"/>
                <w:szCs w:val="20"/>
                <w:lang w:val="en-CA"/>
              </w:rPr>
            </w:pPr>
            <w:r w:rsidRPr="000113BB">
              <w:rPr>
                <w:rFonts w:ascii="Garamond" w:hAnsi="Garamond"/>
                <w:bCs/>
                <w:sz w:val="20"/>
                <w:szCs w:val="20"/>
                <w:lang w:val="en-CA"/>
              </w:rPr>
              <w:t>Flores et al. (2006)</w:t>
            </w:r>
          </w:p>
        </w:tc>
        <w:tc>
          <w:tcPr>
            <w:tcW w:w="1800" w:type="dxa"/>
            <w:tcBorders>
              <w:top w:val="single" w:sz="4" w:space="0" w:color="A6A6A6" w:themeColor="background1" w:themeShade="A6"/>
              <w:bottom w:val="single" w:sz="4" w:space="0" w:color="A6A6A6" w:themeColor="background1" w:themeShade="A6"/>
            </w:tcBorders>
            <w:hideMark/>
          </w:tcPr>
          <w:p w14:paraId="2E62FBF0" w14:textId="77777777" w:rsidR="000113BB" w:rsidRPr="000113BB" w:rsidRDefault="000113BB" w:rsidP="000113BB">
            <w:pPr>
              <w:spacing w:after="120"/>
              <w:rPr>
                <w:rFonts w:ascii="Garamond" w:hAnsi="Garamond"/>
                <w:bCs/>
                <w:sz w:val="20"/>
                <w:szCs w:val="20"/>
                <w:lang w:val="en-CA"/>
              </w:rPr>
            </w:pPr>
            <w:r w:rsidRPr="000113BB">
              <w:rPr>
                <w:rFonts w:ascii="Garamond" w:hAnsi="Garamond"/>
                <w:bCs/>
                <w:sz w:val="20"/>
                <w:szCs w:val="20"/>
                <w:lang w:val="en-CA"/>
              </w:rPr>
              <w:t>Mexican-American HS students</w:t>
            </w:r>
          </w:p>
        </w:tc>
        <w:tc>
          <w:tcPr>
            <w:tcW w:w="900" w:type="dxa"/>
            <w:tcBorders>
              <w:top w:val="single" w:sz="4" w:space="0" w:color="A6A6A6" w:themeColor="background1" w:themeShade="A6"/>
              <w:bottom w:val="single" w:sz="4" w:space="0" w:color="A6A6A6" w:themeColor="background1" w:themeShade="A6"/>
            </w:tcBorders>
            <w:hideMark/>
          </w:tcPr>
          <w:p w14:paraId="2667EE0C" w14:textId="77777777" w:rsidR="000113BB" w:rsidRPr="000113BB" w:rsidRDefault="000113BB" w:rsidP="000113BB">
            <w:pPr>
              <w:spacing w:after="120"/>
              <w:jc w:val="center"/>
              <w:rPr>
                <w:rFonts w:ascii="Garamond" w:hAnsi="Garamond"/>
                <w:bCs/>
                <w:sz w:val="20"/>
                <w:szCs w:val="20"/>
                <w:lang w:val="en-CA"/>
              </w:rPr>
            </w:pPr>
            <w:r w:rsidRPr="000113BB">
              <w:rPr>
                <w:rFonts w:ascii="Garamond" w:hAnsi="Garamond"/>
                <w:bCs/>
                <w:sz w:val="20"/>
                <w:szCs w:val="20"/>
                <w:lang w:val="en-CA"/>
              </w:rPr>
              <w:t>487</w:t>
            </w:r>
          </w:p>
        </w:tc>
        <w:tc>
          <w:tcPr>
            <w:tcW w:w="900" w:type="dxa"/>
            <w:tcBorders>
              <w:top w:val="single" w:sz="4" w:space="0" w:color="A6A6A6" w:themeColor="background1" w:themeShade="A6"/>
              <w:bottom w:val="single" w:sz="4" w:space="0" w:color="A6A6A6" w:themeColor="background1" w:themeShade="A6"/>
            </w:tcBorders>
            <w:hideMark/>
          </w:tcPr>
          <w:p w14:paraId="7C23FD40" w14:textId="77777777" w:rsidR="000113BB" w:rsidRPr="000113BB" w:rsidRDefault="000113BB" w:rsidP="000113BB">
            <w:pPr>
              <w:spacing w:after="120"/>
              <w:jc w:val="center"/>
              <w:rPr>
                <w:rFonts w:ascii="Garamond" w:hAnsi="Garamond"/>
                <w:bCs/>
                <w:sz w:val="20"/>
                <w:szCs w:val="20"/>
                <w:lang w:val="en-CA"/>
              </w:rPr>
            </w:pPr>
            <w:r w:rsidRPr="000113BB">
              <w:rPr>
                <w:rFonts w:ascii="Segoe UI Symbol" w:hAnsi="Segoe UI Symbol" w:cs="Segoe UI Symbol"/>
                <w:bCs/>
                <w:sz w:val="20"/>
                <w:szCs w:val="20"/>
                <w:lang w:val="en-CA"/>
              </w:rPr>
              <w:t>✓</w:t>
            </w:r>
          </w:p>
        </w:tc>
        <w:tc>
          <w:tcPr>
            <w:tcW w:w="1170" w:type="dxa"/>
            <w:tcBorders>
              <w:top w:val="single" w:sz="4" w:space="0" w:color="A6A6A6" w:themeColor="background1" w:themeShade="A6"/>
              <w:bottom w:val="single" w:sz="4" w:space="0" w:color="A6A6A6" w:themeColor="background1" w:themeShade="A6"/>
            </w:tcBorders>
            <w:hideMark/>
          </w:tcPr>
          <w:p w14:paraId="0BB7779D" w14:textId="77777777" w:rsidR="000113BB" w:rsidRPr="000113BB" w:rsidRDefault="000113BB" w:rsidP="000113BB">
            <w:pPr>
              <w:spacing w:after="120"/>
              <w:jc w:val="center"/>
              <w:rPr>
                <w:rFonts w:ascii="Garamond" w:hAnsi="Garamond"/>
                <w:bCs/>
                <w:sz w:val="20"/>
                <w:szCs w:val="20"/>
                <w:lang w:val="en-CA"/>
              </w:rPr>
            </w:pPr>
            <w:r w:rsidRPr="000113BB">
              <w:rPr>
                <w:rFonts w:ascii="Segoe UI Symbol" w:hAnsi="Segoe UI Symbol" w:cs="Segoe UI Symbol"/>
                <w:bCs/>
                <w:sz w:val="20"/>
                <w:szCs w:val="20"/>
                <w:lang w:val="en-CA"/>
              </w:rPr>
              <w:t>✓</w:t>
            </w:r>
          </w:p>
        </w:tc>
        <w:tc>
          <w:tcPr>
            <w:tcW w:w="900" w:type="dxa"/>
            <w:tcBorders>
              <w:top w:val="single" w:sz="4" w:space="0" w:color="A6A6A6" w:themeColor="background1" w:themeShade="A6"/>
              <w:bottom w:val="single" w:sz="4" w:space="0" w:color="A6A6A6" w:themeColor="background1" w:themeShade="A6"/>
            </w:tcBorders>
            <w:hideMark/>
          </w:tcPr>
          <w:p w14:paraId="18748327" w14:textId="77777777" w:rsidR="000113BB" w:rsidRPr="000113BB" w:rsidRDefault="000113BB" w:rsidP="000113BB">
            <w:pPr>
              <w:spacing w:after="120"/>
              <w:jc w:val="center"/>
              <w:rPr>
                <w:rFonts w:ascii="Garamond" w:hAnsi="Garamond"/>
                <w:bCs/>
                <w:sz w:val="20"/>
                <w:szCs w:val="20"/>
                <w:lang w:val="en-CA"/>
              </w:rPr>
            </w:pPr>
          </w:p>
        </w:tc>
        <w:tc>
          <w:tcPr>
            <w:tcW w:w="990" w:type="dxa"/>
            <w:tcBorders>
              <w:top w:val="single" w:sz="4" w:space="0" w:color="A6A6A6" w:themeColor="background1" w:themeShade="A6"/>
              <w:bottom w:val="single" w:sz="4" w:space="0" w:color="A6A6A6" w:themeColor="background1" w:themeShade="A6"/>
            </w:tcBorders>
            <w:hideMark/>
          </w:tcPr>
          <w:p w14:paraId="48D81CB9" w14:textId="77777777" w:rsidR="000113BB" w:rsidRPr="000113BB" w:rsidRDefault="000113BB" w:rsidP="000113BB">
            <w:pPr>
              <w:spacing w:after="120"/>
              <w:jc w:val="center"/>
              <w:rPr>
                <w:rFonts w:ascii="Garamond" w:hAnsi="Garamond"/>
                <w:bCs/>
                <w:sz w:val="20"/>
                <w:szCs w:val="20"/>
                <w:lang w:val="en-CA"/>
              </w:rPr>
            </w:pPr>
          </w:p>
        </w:tc>
        <w:tc>
          <w:tcPr>
            <w:tcW w:w="900" w:type="dxa"/>
            <w:tcBorders>
              <w:top w:val="single" w:sz="4" w:space="0" w:color="A6A6A6" w:themeColor="background1" w:themeShade="A6"/>
              <w:bottom w:val="single" w:sz="4" w:space="0" w:color="A6A6A6" w:themeColor="background1" w:themeShade="A6"/>
            </w:tcBorders>
            <w:hideMark/>
          </w:tcPr>
          <w:p w14:paraId="25D2CFD5" w14:textId="77777777" w:rsidR="000113BB" w:rsidRPr="000113BB" w:rsidRDefault="000113BB" w:rsidP="000113BB">
            <w:pPr>
              <w:spacing w:after="120"/>
              <w:jc w:val="center"/>
              <w:rPr>
                <w:rFonts w:ascii="Garamond" w:hAnsi="Garamond"/>
                <w:bCs/>
                <w:sz w:val="20"/>
                <w:szCs w:val="20"/>
                <w:lang w:val="en-CA"/>
              </w:rPr>
            </w:pPr>
            <w:r w:rsidRPr="000113BB">
              <w:rPr>
                <w:rFonts w:ascii="Segoe UI Symbol" w:hAnsi="Segoe UI Symbol" w:cs="Segoe UI Symbol"/>
                <w:bCs/>
                <w:sz w:val="20"/>
                <w:szCs w:val="20"/>
                <w:lang w:val="en-CA"/>
              </w:rPr>
              <w:t>✓</w:t>
            </w:r>
          </w:p>
        </w:tc>
        <w:tc>
          <w:tcPr>
            <w:tcW w:w="900" w:type="dxa"/>
            <w:tcBorders>
              <w:top w:val="single" w:sz="4" w:space="0" w:color="A6A6A6" w:themeColor="background1" w:themeShade="A6"/>
              <w:bottom w:val="single" w:sz="4" w:space="0" w:color="A6A6A6" w:themeColor="background1" w:themeShade="A6"/>
            </w:tcBorders>
            <w:hideMark/>
          </w:tcPr>
          <w:p w14:paraId="237BE410" w14:textId="77777777" w:rsidR="000113BB" w:rsidRPr="000113BB" w:rsidRDefault="000113BB" w:rsidP="000113BB">
            <w:pPr>
              <w:spacing w:after="120"/>
              <w:jc w:val="center"/>
              <w:rPr>
                <w:rFonts w:ascii="Garamond" w:hAnsi="Garamond"/>
                <w:bCs/>
                <w:sz w:val="20"/>
                <w:szCs w:val="20"/>
                <w:lang w:val="en-CA"/>
              </w:rPr>
            </w:pPr>
          </w:p>
        </w:tc>
        <w:tc>
          <w:tcPr>
            <w:tcW w:w="990" w:type="dxa"/>
            <w:tcBorders>
              <w:top w:val="single" w:sz="4" w:space="0" w:color="A6A6A6" w:themeColor="background1" w:themeShade="A6"/>
              <w:bottom w:val="single" w:sz="4" w:space="0" w:color="A6A6A6" w:themeColor="background1" w:themeShade="A6"/>
            </w:tcBorders>
            <w:hideMark/>
          </w:tcPr>
          <w:p w14:paraId="62E910CD" w14:textId="77777777" w:rsidR="000113BB" w:rsidRPr="000113BB" w:rsidRDefault="000113BB" w:rsidP="000113BB">
            <w:pPr>
              <w:spacing w:after="120"/>
              <w:jc w:val="center"/>
              <w:rPr>
                <w:rFonts w:ascii="Garamond" w:hAnsi="Garamond"/>
                <w:bCs/>
                <w:sz w:val="20"/>
                <w:szCs w:val="20"/>
                <w:lang w:val="en-CA"/>
              </w:rPr>
            </w:pPr>
            <w:r w:rsidRPr="000113BB">
              <w:rPr>
                <w:rFonts w:ascii="Segoe UI Symbol" w:hAnsi="Segoe UI Symbol" w:cs="Segoe UI Symbol"/>
                <w:bCs/>
                <w:sz w:val="20"/>
                <w:szCs w:val="20"/>
                <w:lang w:val="en-CA"/>
              </w:rPr>
              <w:t>✓</w:t>
            </w:r>
          </w:p>
        </w:tc>
        <w:tc>
          <w:tcPr>
            <w:tcW w:w="1080" w:type="dxa"/>
            <w:tcBorders>
              <w:top w:val="single" w:sz="4" w:space="0" w:color="A6A6A6" w:themeColor="background1" w:themeShade="A6"/>
              <w:bottom w:val="single" w:sz="4" w:space="0" w:color="A6A6A6" w:themeColor="background1" w:themeShade="A6"/>
            </w:tcBorders>
            <w:hideMark/>
          </w:tcPr>
          <w:p w14:paraId="22368442" w14:textId="77777777" w:rsidR="000113BB" w:rsidRPr="000113BB" w:rsidRDefault="000113BB" w:rsidP="000113BB">
            <w:pPr>
              <w:spacing w:after="120"/>
              <w:jc w:val="center"/>
              <w:rPr>
                <w:rFonts w:ascii="Garamond" w:hAnsi="Garamond"/>
                <w:bCs/>
                <w:sz w:val="20"/>
                <w:szCs w:val="20"/>
                <w:lang w:val="en-CA"/>
              </w:rPr>
            </w:pPr>
            <w:r w:rsidRPr="000113BB">
              <w:rPr>
                <w:rFonts w:ascii="Segoe UI Symbol" w:hAnsi="Segoe UI Symbol" w:cs="Segoe UI Symbol"/>
                <w:bCs/>
                <w:sz w:val="20"/>
                <w:szCs w:val="20"/>
                <w:lang w:val="en-CA"/>
              </w:rPr>
              <w:t>✓</w:t>
            </w:r>
          </w:p>
        </w:tc>
        <w:tc>
          <w:tcPr>
            <w:tcW w:w="990" w:type="dxa"/>
            <w:tcBorders>
              <w:top w:val="single" w:sz="4" w:space="0" w:color="A6A6A6" w:themeColor="background1" w:themeShade="A6"/>
              <w:bottom w:val="single" w:sz="4" w:space="0" w:color="A6A6A6" w:themeColor="background1" w:themeShade="A6"/>
            </w:tcBorders>
            <w:hideMark/>
          </w:tcPr>
          <w:p w14:paraId="207C8E27" w14:textId="77777777" w:rsidR="000113BB" w:rsidRPr="000113BB" w:rsidRDefault="000113BB" w:rsidP="000113BB">
            <w:pPr>
              <w:spacing w:after="120"/>
              <w:jc w:val="center"/>
              <w:rPr>
                <w:rFonts w:ascii="Garamond" w:hAnsi="Garamond"/>
                <w:bCs/>
                <w:sz w:val="20"/>
                <w:szCs w:val="20"/>
                <w:lang w:val="en-CA"/>
              </w:rPr>
            </w:pPr>
          </w:p>
        </w:tc>
      </w:tr>
      <w:tr w:rsidR="000113BB" w:rsidRPr="000113BB" w14:paraId="1D57C254" w14:textId="77777777" w:rsidTr="003856DA">
        <w:trPr>
          <w:trHeight w:val="600"/>
        </w:trPr>
        <w:tc>
          <w:tcPr>
            <w:tcW w:w="2070" w:type="dxa"/>
            <w:tcBorders>
              <w:top w:val="single" w:sz="4" w:space="0" w:color="A6A6A6" w:themeColor="background1" w:themeShade="A6"/>
              <w:bottom w:val="single" w:sz="4" w:space="0" w:color="A6A6A6" w:themeColor="background1" w:themeShade="A6"/>
            </w:tcBorders>
            <w:hideMark/>
          </w:tcPr>
          <w:p w14:paraId="1C059305" w14:textId="77777777" w:rsidR="000113BB" w:rsidRPr="000113BB" w:rsidRDefault="000113BB" w:rsidP="000113BB">
            <w:pPr>
              <w:spacing w:after="120"/>
              <w:rPr>
                <w:rFonts w:ascii="Garamond" w:hAnsi="Garamond"/>
                <w:bCs/>
                <w:sz w:val="20"/>
                <w:szCs w:val="20"/>
                <w:lang w:val="en-CA"/>
              </w:rPr>
            </w:pPr>
            <w:r w:rsidRPr="000113BB">
              <w:rPr>
                <w:rFonts w:ascii="Garamond" w:hAnsi="Garamond"/>
                <w:bCs/>
                <w:sz w:val="20"/>
                <w:szCs w:val="20"/>
                <w:lang w:val="en-CA"/>
              </w:rPr>
              <w:t>Fouad &amp; Walker (2005)</w:t>
            </w:r>
          </w:p>
        </w:tc>
        <w:tc>
          <w:tcPr>
            <w:tcW w:w="1800" w:type="dxa"/>
            <w:tcBorders>
              <w:top w:val="single" w:sz="4" w:space="0" w:color="A6A6A6" w:themeColor="background1" w:themeShade="A6"/>
              <w:bottom w:val="single" w:sz="4" w:space="0" w:color="A6A6A6" w:themeColor="background1" w:themeShade="A6"/>
            </w:tcBorders>
            <w:hideMark/>
          </w:tcPr>
          <w:p w14:paraId="1CE5DC2B" w14:textId="77777777" w:rsidR="000113BB" w:rsidRPr="000113BB" w:rsidRDefault="000113BB" w:rsidP="000113BB">
            <w:pPr>
              <w:spacing w:after="120"/>
              <w:rPr>
                <w:rFonts w:ascii="Garamond" w:hAnsi="Garamond"/>
                <w:bCs/>
                <w:sz w:val="20"/>
                <w:szCs w:val="20"/>
                <w:lang w:val="en-CA"/>
              </w:rPr>
            </w:pPr>
            <w:r w:rsidRPr="000113BB">
              <w:rPr>
                <w:rFonts w:ascii="Garamond" w:hAnsi="Garamond"/>
                <w:bCs/>
                <w:sz w:val="20"/>
                <w:szCs w:val="20"/>
                <w:lang w:val="en-CA"/>
              </w:rPr>
              <w:t>Multi-ethnic U.S. adults</w:t>
            </w:r>
          </w:p>
        </w:tc>
        <w:tc>
          <w:tcPr>
            <w:tcW w:w="900" w:type="dxa"/>
            <w:tcBorders>
              <w:top w:val="single" w:sz="4" w:space="0" w:color="A6A6A6" w:themeColor="background1" w:themeShade="A6"/>
              <w:bottom w:val="single" w:sz="4" w:space="0" w:color="A6A6A6" w:themeColor="background1" w:themeShade="A6"/>
            </w:tcBorders>
            <w:hideMark/>
          </w:tcPr>
          <w:p w14:paraId="393C1DAF" w14:textId="77777777" w:rsidR="000113BB" w:rsidRPr="000113BB" w:rsidRDefault="000113BB" w:rsidP="000113BB">
            <w:pPr>
              <w:spacing w:after="120"/>
              <w:jc w:val="center"/>
              <w:rPr>
                <w:rFonts w:ascii="Garamond" w:hAnsi="Garamond"/>
                <w:bCs/>
                <w:sz w:val="20"/>
                <w:szCs w:val="20"/>
                <w:lang w:val="en-CA"/>
              </w:rPr>
            </w:pPr>
            <w:r w:rsidRPr="000113BB">
              <w:rPr>
                <w:rFonts w:ascii="Garamond" w:hAnsi="Garamond"/>
                <w:bCs/>
                <w:sz w:val="20"/>
                <w:szCs w:val="20"/>
                <w:lang w:val="en-CA"/>
              </w:rPr>
              <w:t>3750</w:t>
            </w:r>
          </w:p>
        </w:tc>
        <w:tc>
          <w:tcPr>
            <w:tcW w:w="900" w:type="dxa"/>
            <w:tcBorders>
              <w:top w:val="single" w:sz="4" w:space="0" w:color="A6A6A6" w:themeColor="background1" w:themeShade="A6"/>
              <w:bottom w:val="single" w:sz="4" w:space="0" w:color="A6A6A6" w:themeColor="background1" w:themeShade="A6"/>
            </w:tcBorders>
            <w:hideMark/>
          </w:tcPr>
          <w:p w14:paraId="524BA807" w14:textId="77777777" w:rsidR="000113BB" w:rsidRPr="000113BB" w:rsidRDefault="000113BB" w:rsidP="000113BB">
            <w:pPr>
              <w:spacing w:after="120"/>
              <w:jc w:val="center"/>
              <w:rPr>
                <w:rFonts w:ascii="Garamond" w:hAnsi="Garamond"/>
                <w:bCs/>
                <w:sz w:val="20"/>
                <w:szCs w:val="20"/>
                <w:lang w:val="en-CA"/>
              </w:rPr>
            </w:pPr>
          </w:p>
        </w:tc>
        <w:tc>
          <w:tcPr>
            <w:tcW w:w="1170" w:type="dxa"/>
            <w:tcBorders>
              <w:top w:val="single" w:sz="4" w:space="0" w:color="A6A6A6" w:themeColor="background1" w:themeShade="A6"/>
              <w:bottom w:val="single" w:sz="4" w:space="0" w:color="A6A6A6" w:themeColor="background1" w:themeShade="A6"/>
            </w:tcBorders>
            <w:hideMark/>
          </w:tcPr>
          <w:p w14:paraId="3B79EC22" w14:textId="4A01B9E2" w:rsidR="000113BB" w:rsidRPr="000113BB" w:rsidRDefault="001655D7" w:rsidP="000113BB">
            <w:pPr>
              <w:spacing w:after="120"/>
              <w:jc w:val="center"/>
              <w:rPr>
                <w:rFonts w:ascii="Garamond" w:hAnsi="Garamond"/>
                <w:bCs/>
                <w:sz w:val="20"/>
                <w:szCs w:val="20"/>
                <w:lang w:val="en-CA"/>
              </w:rPr>
            </w:pPr>
            <w:r w:rsidRPr="000113BB">
              <w:rPr>
                <w:rFonts w:ascii="Segoe UI Symbol" w:hAnsi="Segoe UI Symbol" w:cs="Segoe UI Symbol"/>
                <w:bCs/>
                <w:sz w:val="20"/>
                <w:szCs w:val="20"/>
                <w:lang w:val="en-CA"/>
              </w:rPr>
              <w:t>✓</w:t>
            </w:r>
          </w:p>
        </w:tc>
        <w:tc>
          <w:tcPr>
            <w:tcW w:w="900" w:type="dxa"/>
            <w:tcBorders>
              <w:top w:val="single" w:sz="4" w:space="0" w:color="A6A6A6" w:themeColor="background1" w:themeShade="A6"/>
              <w:bottom w:val="single" w:sz="4" w:space="0" w:color="A6A6A6" w:themeColor="background1" w:themeShade="A6"/>
            </w:tcBorders>
            <w:hideMark/>
          </w:tcPr>
          <w:p w14:paraId="4F64BB27" w14:textId="77777777" w:rsidR="000113BB" w:rsidRPr="000113BB" w:rsidRDefault="000113BB" w:rsidP="000113BB">
            <w:pPr>
              <w:spacing w:after="120"/>
              <w:jc w:val="center"/>
              <w:rPr>
                <w:rFonts w:ascii="Garamond" w:hAnsi="Garamond"/>
                <w:bCs/>
                <w:sz w:val="20"/>
                <w:szCs w:val="20"/>
                <w:lang w:val="en-CA"/>
              </w:rPr>
            </w:pPr>
          </w:p>
        </w:tc>
        <w:tc>
          <w:tcPr>
            <w:tcW w:w="990" w:type="dxa"/>
            <w:tcBorders>
              <w:top w:val="single" w:sz="4" w:space="0" w:color="A6A6A6" w:themeColor="background1" w:themeShade="A6"/>
              <w:bottom w:val="single" w:sz="4" w:space="0" w:color="A6A6A6" w:themeColor="background1" w:themeShade="A6"/>
            </w:tcBorders>
            <w:hideMark/>
          </w:tcPr>
          <w:p w14:paraId="666CA919" w14:textId="77777777" w:rsidR="000113BB" w:rsidRPr="000113BB" w:rsidRDefault="000113BB" w:rsidP="000113BB">
            <w:pPr>
              <w:spacing w:after="120"/>
              <w:jc w:val="center"/>
              <w:rPr>
                <w:rFonts w:ascii="Garamond" w:hAnsi="Garamond"/>
                <w:bCs/>
                <w:sz w:val="20"/>
                <w:szCs w:val="20"/>
                <w:lang w:val="en-CA"/>
              </w:rPr>
            </w:pPr>
            <w:r w:rsidRPr="000113BB">
              <w:rPr>
                <w:rFonts w:ascii="Segoe UI Symbol" w:hAnsi="Segoe UI Symbol" w:cs="Segoe UI Symbol"/>
                <w:bCs/>
                <w:sz w:val="20"/>
                <w:szCs w:val="20"/>
                <w:lang w:val="en-CA"/>
              </w:rPr>
              <w:t>✓</w:t>
            </w:r>
          </w:p>
        </w:tc>
        <w:tc>
          <w:tcPr>
            <w:tcW w:w="900" w:type="dxa"/>
            <w:tcBorders>
              <w:top w:val="single" w:sz="4" w:space="0" w:color="A6A6A6" w:themeColor="background1" w:themeShade="A6"/>
              <w:bottom w:val="single" w:sz="4" w:space="0" w:color="A6A6A6" w:themeColor="background1" w:themeShade="A6"/>
            </w:tcBorders>
            <w:hideMark/>
          </w:tcPr>
          <w:p w14:paraId="71A00D6E" w14:textId="77777777" w:rsidR="000113BB" w:rsidRPr="000113BB" w:rsidRDefault="000113BB" w:rsidP="000113BB">
            <w:pPr>
              <w:spacing w:after="120"/>
              <w:jc w:val="center"/>
              <w:rPr>
                <w:rFonts w:ascii="Garamond" w:hAnsi="Garamond"/>
                <w:bCs/>
                <w:sz w:val="20"/>
                <w:szCs w:val="20"/>
                <w:lang w:val="en-CA"/>
              </w:rPr>
            </w:pPr>
          </w:p>
        </w:tc>
        <w:tc>
          <w:tcPr>
            <w:tcW w:w="900" w:type="dxa"/>
            <w:tcBorders>
              <w:top w:val="single" w:sz="4" w:space="0" w:color="A6A6A6" w:themeColor="background1" w:themeShade="A6"/>
              <w:bottom w:val="single" w:sz="4" w:space="0" w:color="A6A6A6" w:themeColor="background1" w:themeShade="A6"/>
            </w:tcBorders>
            <w:hideMark/>
          </w:tcPr>
          <w:p w14:paraId="24301DA3" w14:textId="77777777" w:rsidR="000113BB" w:rsidRPr="000113BB" w:rsidRDefault="000113BB" w:rsidP="000113BB">
            <w:pPr>
              <w:spacing w:after="120"/>
              <w:jc w:val="center"/>
              <w:rPr>
                <w:rFonts w:ascii="Garamond" w:hAnsi="Garamond"/>
                <w:bCs/>
                <w:sz w:val="20"/>
                <w:szCs w:val="20"/>
                <w:lang w:val="en-CA"/>
              </w:rPr>
            </w:pPr>
          </w:p>
        </w:tc>
        <w:tc>
          <w:tcPr>
            <w:tcW w:w="990" w:type="dxa"/>
            <w:tcBorders>
              <w:top w:val="single" w:sz="4" w:space="0" w:color="A6A6A6" w:themeColor="background1" w:themeShade="A6"/>
              <w:bottom w:val="single" w:sz="4" w:space="0" w:color="A6A6A6" w:themeColor="background1" w:themeShade="A6"/>
            </w:tcBorders>
            <w:hideMark/>
          </w:tcPr>
          <w:p w14:paraId="64EDC69C" w14:textId="77777777" w:rsidR="000113BB" w:rsidRPr="000113BB" w:rsidRDefault="000113BB" w:rsidP="000113BB">
            <w:pPr>
              <w:spacing w:after="120"/>
              <w:jc w:val="center"/>
              <w:rPr>
                <w:rFonts w:ascii="Garamond" w:hAnsi="Garamond"/>
                <w:bCs/>
                <w:sz w:val="20"/>
                <w:szCs w:val="20"/>
                <w:lang w:val="en-CA"/>
              </w:rPr>
            </w:pPr>
            <w:r w:rsidRPr="000113BB">
              <w:rPr>
                <w:rFonts w:ascii="Segoe UI Symbol" w:hAnsi="Segoe UI Symbol" w:cs="Segoe UI Symbol"/>
                <w:bCs/>
                <w:sz w:val="20"/>
                <w:szCs w:val="20"/>
                <w:lang w:val="en-CA"/>
              </w:rPr>
              <w:t>✓</w:t>
            </w:r>
          </w:p>
        </w:tc>
        <w:tc>
          <w:tcPr>
            <w:tcW w:w="1080" w:type="dxa"/>
            <w:tcBorders>
              <w:top w:val="single" w:sz="4" w:space="0" w:color="A6A6A6" w:themeColor="background1" w:themeShade="A6"/>
              <w:bottom w:val="single" w:sz="4" w:space="0" w:color="A6A6A6" w:themeColor="background1" w:themeShade="A6"/>
            </w:tcBorders>
            <w:hideMark/>
          </w:tcPr>
          <w:p w14:paraId="10E94B0E" w14:textId="77777777" w:rsidR="000113BB" w:rsidRPr="000113BB" w:rsidRDefault="000113BB" w:rsidP="000113BB">
            <w:pPr>
              <w:spacing w:after="120"/>
              <w:jc w:val="center"/>
              <w:rPr>
                <w:rFonts w:ascii="Garamond" w:hAnsi="Garamond"/>
                <w:bCs/>
                <w:sz w:val="20"/>
                <w:szCs w:val="20"/>
                <w:lang w:val="en-CA"/>
              </w:rPr>
            </w:pPr>
          </w:p>
        </w:tc>
        <w:tc>
          <w:tcPr>
            <w:tcW w:w="990" w:type="dxa"/>
            <w:tcBorders>
              <w:top w:val="single" w:sz="4" w:space="0" w:color="A6A6A6" w:themeColor="background1" w:themeShade="A6"/>
              <w:bottom w:val="single" w:sz="4" w:space="0" w:color="A6A6A6" w:themeColor="background1" w:themeShade="A6"/>
            </w:tcBorders>
            <w:hideMark/>
          </w:tcPr>
          <w:p w14:paraId="60F11FA4" w14:textId="77777777" w:rsidR="000113BB" w:rsidRPr="000113BB" w:rsidRDefault="000113BB" w:rsidP="000113BB">
            <w:pPr>
              <w:spacing w:after="120"/>
              <w:jc w:val="center"/>
              <w:rPr>
                <w:rFonts w:ascii="Garamond" w:hAnsi="Garamond"/>
                <w:bCs/>
                <w:sz w:val="20"/>
                <w:szCs w:val="20"/>
                <w:lang w:val="en-CA"/>
              </w:rPr>
            </w:pPr>
            <w:r w:rsidRPr="000113BB">
              <w:rPr>
                <w:rFonts w:ascii="Segoe UI Symbol" w:hAnsi="Segoe UI Symbol" w:cs="Segoe UI Symbol"/>
                <w:bCs/>
                <w:sz w:val="20"/>
                <w:szCs w:val="20"/>
                <w:lang w:val="en-CA"/>
              </w:rPr>
              <w:t>✓</w:t>
            </w:r>
          </w:p>
        </w:tc>
      </w:tr>
      <w:tr w:rsidR="000113BB" w:rsidRPr="000113BB" w14:paraId="47DD7EE2" w14:textId="77777777" w:rsidTr="003856DA">
        <w:trPr>
          <w:trHeight w:val="600"/>
        </w:trPr>
        <w:tc>
          <w:tcPr>
            <w:tcW w:w="2070" w:type="dxa"/>
            <w:tcBorders>
              <w:top w:val="single" w:sz="4" w:space="0" w:color="A6A6A6" w:themeColor="background1" w:themeShade="A6"/>
              <w:bottom w:val="single" w:sz="4" w:space="0" w:color="A6A6A6" w:themeColor="background1" w:themeShade="A6"/>
            </w:tcBorders>
            <w:hideMark/>
          </w:tcPr>
          <w:p w14:paraId="4AC6CBA2" w14:textId="77777777" w:rsidR="000113BB" w:rsidRPr="000113BB" w:rsidRDefault="000113BB" w:rsidP="000113BB">
            <w:pPr>
              <w:spacing w:after="120"/>
              <w:rPr>
                <w:rFonts w:ascii="Garamond" w:hAnsi="Garamond"/>
                <w:bCs/>
                <w:sz w:val="20"/>
                <w:szCs w:val="20"/>
                <w:lang w:val="en-CA"/>
              </w:rPr>
            </w:pPr>
            <w:r w:rsidRPr="000113BB">
              <w:rPr>
                <w:rFonts w:ascii="Garamond" w:hAnsi="Garamond"/>
                <w:bCs/>
                <w:sz w:val="20"/>
                <w:szCs w:val="20"/>
                <w:lang w:val="en-CA"/>
              </w:rPr>
              <w:t>Gasser et al. (2007)</w:t>
            </w:r>
          </w:p>
        </w:tc>
        <w:tc>
          <w:tcPr>
            <w:tcW w:w="1800" w:type="dxa"/>
            <w:tcBorders>
              <w:top w:val="single" w:sz="4" w:space="0" w:color="A6A6A6" w:themeColor="background1" w:themeShade="A6"/>
              <w:bottom w:val="single" w:sz="4" w:space="0" w:color="A6A6A6" w:themeColor="background1" w:themeShade="A6"/>
            </w:tcBorders>
            <w:hideMark/>
          </w:tcPr>
          <w:p w14:paraId="477EEBC1" w14:textId="77777777" w:rsidR="000113BB" w:rsidRPr="000113BB" w:rsidRDefault="000113BB" w:rsidP="000113BB">
            <w:pPr>
              <w:spacing w:after="120"/>
              <w:rPr>
                <w:rFonts w:ascii="Garamond" w:hAnsi="Garamond"/>
                <w:bCs/>
                <w:sz w:val="20"/>
                <w:szCs w:val="20"/>
                <w:lang w:val="en-CA"/>
              </w:rPr>
            </w:pPr>
            <w:r w:rsidRPr="000113BB">
              <w:rPr>
                <w:rFonts w:ascii="Garamond" w:hAnsi="Garamond"/>
                <w:bCs/>
                <w:sz w:val="20"/>
                <w:szCs w:val="20"/>
                <w:lang w:val="en-CA"/>
              </w:rPr>
              <w:t>U.S. college students</w:t>
            </w:r>
          </w:p>
        </w:tc>
        <w:tc>
          <w:tcPr>
            <w:tcW w:w="900" w:type="dxa"/>
            <w:tcBorders>
              <w:top w:val="single" w:sz="4" w:space="0" w:color="A6A6A6" w:themeColor="background1" w:themeShade="A6"/>
              <w:bottom w:val="single" w:sz="4" w:space="0" w:color="A6A6A6" w:themeColor="background1" w:themeShade="A6"/>
            </w:tcBorders>
            <w:hideMark/>
          </w:tcPr>
          <w:p w14:paraId="6B272626" w14:textId="77777777" w:rsidR="000113BB" w:rsidRPr="000113BB" w:rsidRDefault="000113BB" w:rsidP="000113BB">
            <w:pPr>
              <w:spacing w:after="120"/>
              <w:jc w:val="center"/>
              <w:rPr>
                <w:rFonts w:ascii="Garamond" w:hAnsi="Garamond"/>
                <w:bCs/>
                <w:sz w:val="20"/>
                <w:szCs w:val="20"/>
                <w:lang w:val="en-CA"/>
              </w:rPr>
            </w:pPr>
            <w:r w:rsidRPr="000113BB">
              <w:rPr>
                <w:rFonts w:ascii="Garamond" w:hAnsi="Garamond"/>
                <w:bCs/>
                <w:sz w:val="20"/>
                <w:szCs w:val="20"/>
                <w:lang w:val="en-CA"/>
              </w:rPr>
              <w:t>1872</w:t>
            </w:r>
          </w:p>
        </w:tc>
        <w:tc>
          <w:tcPr>
            <w:tcW w:w="900" w:type="dxa"/>
            <w:tcBorders>
              <w:top w:val="single" w:sz="4" w:space="0" w:color="A6A6A6" w:themeColor="background1" w:themeShade="A6"/>
              <w:bottom w:val="single" w:sz="4" w:space="0" w:color="A6A6A6" w:themeColor="background1" w:themeShade="A6"/>
            </w:tcBorders>
            <w:hideMark/>
          </w:tcPr>
          <w:p w14:paraId="57EF743E" w14:textId="77777777" w:rsidR="000113BB" w:rsidRPr="000113BB" w:rsidRDefault="000113BB" w:rsidP="000113BB">
            <w:pPr>
              <w:spacing w:after="120"/>
              <w:jc w:val="center"/>
              <w:rPr>
                <w:rFonts w:ascii="Garamond" w:hAnsi="Garamond"/>
                <w:bCs/>
                <w:sz w:val="20"/>
                <w:szCs w:val="20"/>
                <w:lang w:val="en-CA"/>
              </w:rPr>
            </w:pPr>
          </w:p>
        </w:tc>
        <w:tc>
          <w:tcPr>
            <w:tcW w:w="1170" w:type="dxa"/>
            <w:tcBorders>
              <w:top w:val="single" w:sz="4" w:space="0" w:color="A6A6A6" w:themeColor="background1" w:themeShade="A6"/>
              <w:bottom w:val="single" w:sz="4" w:space="0" w:color="A6A6A6" w:themeColor="background1" w:themeShade="A6"/>
            </w:tcBorders>
            <w:hideMark/>
          </w:tcPr>
          <w:p w14:paraId="184B52B5" w14:textId="77777777" w:rsidR="000113BB" w:rsidRPr="000113BB" w:rsidRDefault="000113BB" w:rsidP="000113BB">
            <w:pPr>
              <w:spacing w:after="120"/>
              <w:jc w:val="center"/>
              <w:rPr>
                <w:rFonts w:ascii="Garamond" w:hAnsi="Garamond"/>
                <w:bCs/>
                <w:sz w:val="20"/>
                <w:szCs w:val="20"/>
                <w:lang w:val="en-CA"/>
              </w:rPr>
            </w:pPr>
            <w:r w:rsidRPr="000113BB">
              <w:rPr>
                <w:rFonts w:ascii="Segoe UI Symbol" w:hAnsi="Segoe UI Symbol" w:cs="Segoe UI Symbol"/>
                <w:bCs/>
                <w:sz w:val="20"/>
                <w:szCs w:val="20"/>
                <w:lang w:val="en-CA"/>
              </w:rPr>
              <w:t>✓</w:t>
            </w:r>
          </w:p>
        </w:tc>
        <w:tc>
          <w:tcPr>
            <w:tcW w:w="900" w:type="dxa"/>
            <w:tcBorders>
              <w:top w:val="single" w:sz="4" w:space="0" w:color="A6A6A6" w:themeColor="background1" w:themeShade="A6"/>
              <w:bottom w:val="single" w:sz="4" w:space="0" w:color="A6A6A6" w:themeColor="background1" w:themeShade="A6"/>
            </w:tcBorders>
            <w:hideMark/>
          </w:tcPr>
          <w:p w14:paraId="1CB0979D" w14:textId="77777777" w:rsidR="000113BB" w:rsidRPr="000113BB" w:rsidRDefault="000113BB" w:rsidP="000113BB">
            <w:pPr>
              <w:spacing w:after="120"/>
              <w:jc w:val="center"/>
              <w:rPr>
                <w:rFonts w:ascii="Garamond" w:hAnsi="Garamond"/>
                <w:bCs/>
                <w:sz w:val="20"/>
                <w:szCs w:val="20"/>
                <w:lang w:val="en-CA"/>
              </w:rPr>
            </w:pPr>
          </w:p>
        </w:tc>
        <w:tc>
          <w:tcPr>
            <w:tcW w:w="990" w:type="dxa"/>
            <w:tcBorders>
              <w:top w:val="single" w:sz="4" w:space="0" w:color="A6A6A6" w:themeColor="background1" w:themeShade="A6"/>
              <w:bottom w:val="single" w:sz="4" w:space="0" w:color="A6A6A6" w:themeColor="background1" w:themeShade="A6"/>
            </w:tcBorders>
            <w:hideMark/>
          </w:tcPr>
          <w:p w14:paraId="3DB51BCE" w14:textId="77777777" w:rsidR="000113BB" w:rsidRPr="000113BB" w:rsidRDefault="000113BB" w:rsidP="000113BB">
            <w:pPr>
              <w:spacing w:after="120"/>
              <w:jc w:val="center"/>
              <w:rPr>
                <w:rFonts w:ascii="Garamond" w:hAnsi="Garamond"/>
                <w:bCs/>
                <w:sz w:val="20"/>
                <w:szCs w:val="20"/>
                <w:lang w:val="en-CA"/>
              </w:rPr>
            </w:pPr>
          </w:p>
        </w:tc>
        <w:tc>
          <w:tcPr>
            <w:tcW w:w="900" w:type="dxa"/>
            <w:tcBorders>
              <w:top w:val="single" w:sz="4" w:space="0" w:color="A6A6A6" w:themeColor="background1" w:themeShade="A6"/>
              <w:bottom w:val="single" w:sz="4" w:space="0" w:color="A6A6A6" w:themeColor="background1" w:themeShade="A6"/>
            </w:tcBorders>
            <w:hideMark/>
          </w:tcPr>
          <w:p w14:paraId="67F88965" w14:textId="77777777" w:rsidR="000113BB" w:rsidRPr="000113BB" w:rsidRDefault="000113BB" w:rsidP="000113BB">
            <w:pPr>
              <w:spacing w:after="120"/>
              <w:jc w:val="center"/>
              <w:rPr>
                <w:rFonts w:ascii="Garamond" w:hAnsi="Garamond"/>
                <w:bCs/>
                <w:sz w:val="20"/>
                <w:szCs w:val="20"/>
                <w:lang w:val="en-CA"/>
              </w:rPr>
            </w:pPr>
          </w:p>
        </w:tc>
        <w:tc>
          <w:tcPr>
            <w:tcW w:w="900" w:type="dxa"/>
            <w:tcBorders>
              <w:top w:val="single" w:sz="4" w:space="0" w:color="A6A6A6" w:themeColor="background1" w:themeShade="A6"/>
              <w:bottom w:val="single" w:sz="4" w:space="0" w:color="A6A6A6" w:themeColor="background1" w:themeShade="A6"/>
            </w:tcBorders>
            <w:hideMark/>
          </w:tcPr>
          <w:p w14:paraId="44BBE68C" w14:textId="77777777" w:rsidR="000113BB" w:rsidRPr="000113BB" w:rsidRDefault="000113BB" w:rsidP="000113BB">
            <w:pPr>
              <w:spacing w:after="120"/>
              <w:jc w:val="center"/>
              <w:rPr>
                <w:rFonts w:ascii="Garamond" w:hAnsi="Garamond"/>
                <w:bCs/>
                <w:sz w:val="20"/>
                <w:szCs w:val="20"/>
                <w:lang w:val="en-CA"/>
              </w:rPr>
            </w:pPr>
            <w:r w:rsidRPr="000113BB">
              <w:rPr>
                <w:rFonts w:ascii="Segoe UI Symbol" w:hAnsi="Segoe UI Symbol" w:cs="Segoe UI Symbol"/>
                <w:bCs/>
                <w:sz w:val="20"/>
                <w:szCs w:val="20"/>
                <w:lang w:val="en-CA"/>
              </w:rPr>
              <w:t>✓</w:t>
            </w:r>
          </w:p>
        </w:tc>
        <w:tc>
          <w:tcPr>
            <w:tcW w:w="990" w:type="dxa"/>
            <w:tcBorders>
              <w:top w:val="single" w:sz="4" w:space="0" w:color="A6A6A6" w:themeColor="background1" w:themeShade="A6"/>
              <w:bottom w:val="single" w:sz="4" w:space="0" w:color="A6A6A6" w:themeColor="background1" w:themeShade="A6"/>
            </w:tcBorders>
            <w:hideMark/>
          </w:tcPr>
          <w:p w14:paraId="77885030" w14:textId="77777777" w:rsidR="000113BB" w:rsidRPr="000113BB" w:rsidRDefault="000113BB" w:rsidP="000113BB">
            <w:pPr>
              <w:spacing w:after="120"/>
              <w:jc w:val="center"/>
              <w:rPr>
                <w:rFonts w:ascii="Garamond" w:hAnsi="Garamond"/>
                <w:bCs/>
                <w:sz w:val="20"/>
                <w:szCs w:val="20"/>
                <w:lang w:val="en-CA"/>
              </w:rPr>
            </w:pPr>
            <w:r w:rsidRPr="000113BB">
              <w:rPr>
                <w:rFonts w:ascii="Segoe UI Symbol" w:hAnsi="Segoe UI Symbol" w:cs="Segoe UI Symbol"/>
                <w:bCs/>
                <w:sz w:val="20"/>
                <w:szCs w:val="20"/>
                <w:lang w:val="en-CA"/>
              </w:rPr>
              <w:t>✓</w:t>
            </w:r>
          </w:p>
        </w:tc>
        <w:tc>
          <w:tcPr>
            <w:tcW w:w="1080" w:type="dxa"/>
            <w:tcBorders>
              <w:top w:val="single" w:sz="4" w:space="0" w:color="A6A6A6" w:themeColor="background1" w:themeShade="A6"/>
              <w:bottom w:val="single" w:sz="4" w:space="0" w:color="A6A6A6" w:themeColor="background1" w:themeShade="A6"/>
            </w:tcBorders>
            <w:hideMark/>
          </w:tcPr>
          <w:p w14:paraId="43793EA5" w14:textId="77777777" w:rsidR="000113BB" w:rsidRPr="000113BB" w:rsidRDefault="000113BB" w:rsidP="000113BB">
            <w:pPr>
              <w:spacing w:after="120"/>
              <w:jc w:val="center"/>
              <w:rPr>
                <w:rFonts w:ascii="Garamond" w:hAnsi="Garamond"/>
                <w:bCs/>
                <w:sz w:val="20"/>
                <w:szCs w:val="20"/>
                <w:lang w:val="en-CA"/>
              </w:rPr>
            </w:pPr>
          </w:p>
        </w:tc>
        <w:tc>
          <w:tcPr>
            <w:tcW w:w="990" w:type="dxa"/>
            <w:tcBorders>
              <w:top w:val="single" w:sz="4" w:space="0" w:color="A6A6A6" w:themeColor="background1" w:themeShade="A6"/>
              <w:bottom w:val="single" w:sz="4" w:space="0" w:color="A6A6A6" w:themeColor="background1" w:themeShade="A6"/>
            </w:tcBorders>
            <w:hideMark/>
          </w:tcPr>
          <w:p w14:paraId="1D650780" w14:textId="77777777" w:rsidR="000113BB" w:rsidRPr="000113BB" w:rsidRDefault="000113BB" w:rsidP="000113BB">
            <w:pPr>
              <w:spacing w:after="120"/>
              <w:jc w:val="center"/>
              <w:rPr>
                <w:rFonts w:ascii="Garamond" w:hAnsi="Garamond"/>
                <w:bCs/>
                <w:sz w:val="20"/>
                <w:szCs w:val="20"/>
                <w:lang w:val="en-CA"/>
              </w:rPr>
            </w:pPr>
          </w:p>
        </w:tc>
      </w:tr>
      <w:tr w:rsidR="000113BB" w:rsidRPr="000113BB" w14:paraId="21907947" w14:textId="77777777" w:rsidTr="003856DA">
        <w:trPr>
          <w:trHeight w:val="300"/>
        </w:trPr>
        <w:tc>
          <w:tcPr>
            <w:tcW w:w="2070" w:type="dxa"/>
            <w:tcBorders>
              <w:top w:val="single" w:sz="4" w:space="0" w:color="A6A6A6" w:themeColor="background1" w:themeShade="A6"/>
              <w:bottom w:val="single" w:sz="4" w:space="0" w:color="A6A6A6" w:themeColor="background1" w:themeShade="A6"/>
            </w:tcBorders>
            <w:hideMark/>
          </w:tcPr>
          <w:p w14:paraId="17598596" w14:textId="77777777" w:rsidR="000113BB" w:rsidRPr="000113BB" w:rsidRDefault="000113BB" w:rsidP="000113BB">
            <w:pPr>
              <w:spacing w:after="120"/>
              <w:rPr>
                <w:rFonts w:ascii="Garamond" w:hAnsi="Garamond"/>
                <w:bCs/>
                <w:sz w:val="20"/>
                <w:szCs w:val="20"/>
                <w:lang w:val="en-CA"/>
              </w:rPr>
            </w:pPr>
            <w:r w:rsidRPr="000113BB">
              <w:rPr>
                <w:rFonts w:ascii="Garamond" w:hAnsi="Garamond"/>
                <w:bCs/>
                <w:sz w:val="20"/>
                <w:szCs w:val="20"/>
                <w:lang w:val="en-CA"/>
              </w:rPr>
              <w:t>Hansen &amp; Dik (2005)</w:t>
            </w:r>
          </w:p>
        </w:tc>
        <w:tc>
          <w:tcPr>
            <w:tcW w:w="1800" w:type="dxa"/>
            <w:tcBorders>
              <w:top w:val="single" w:sz="4" w:space="0" w:color="A6A6A6" w:themeColor="background1" w:themeShade="A6"/>
              <w:bottom w:val="single" w:sz="4" w:space="0" w:color="A6A6A6" w:themeColor="background1" w:themeShade="A6"/>
            </w:tcBorders>
            <w:hideMark/>
          </w:tcPr>
          <w:p w14:paraId="60668B08" w14:textId="77777777" w:rsidR="000113BB" w:rsidRPr="000113BB" w:rsidRDefault="000113BB" w:rsidP="000113BB">
            <w:pPr>
              <w:spacing w:after="120"/>
              <w:rPr>
                <w:rFonts w:ascii="Garamond" w:hAnsi="Garamond"/>
                <w:bCs/>
                <w:sz w:val="20"/>
                <w:szCs w:val="20"/>
                <w:lang w:val="en-CA"/>
              </w:rPr>
            </w:pPr>
            <w:r w:rsidRPr="000113BB">
              <w:rPr>
                <w:rFonts w:ascii="Garamond" w:hAnsi="Garamond"/>
                <w:bCs/>
                <w:sz w:val="20"/>
                <w:szCs w:val="20"/>
                <w:lang w:val="en-CA"/>
              </w:rPr>
              <w:t>College students</w:t>
            </w:r>
          </w:p>
        </w:tc>
        <w:tc>
          <w:tcPr>
            <w:tcW w:w="900" w:type="dxa"/>
            <w:tcBorders>
              <w:top w:val="single" w:sz="4" w:space="0" w:color="A6A6A6" w:themeColor="background1" w:themeShade="A6"/>
              <w:bottom w:val="single" w:sz="4" w:space="0" w:color="A6A6A6" w:themeColor="background1" w:themeShade="A6"/>
            </w:tcBorders>
            <w:hideMark/>
          </w:tcPr>
          <w:p w14:paraId="58F08CF1" w14:textId="77777777" w:rsidR="000113BB" w:rsidRPr="000113BB" w:rsidRDefault="000113BB" w:rsidP="000113BB">
            <w:pPr>
              <w:spacing w:after="120"/>
              <w:jc w:val="center"/>
              <w:rPr>
                <w:rFonts w:ascii="Garamond" w:hAnsi="Garamond"/>
                <w:bCs/>
                <w:sz w:val="20"/>
                <w:szCs w:val="20"/>
                <w:lang w:val="en-CA"/>
              </w:rPr>
            </w:pPr>
            <w:r w:rsidRPr="000113BB">
              <w:rPr>
                <w:rFonts w:ascii="Garamond" w:hAnsi="Garamond"/>
                <w:bCs/>
                <w:sz w:val="20"/>
                <w:szCs w:val="20"/>
                <w:lang w:val="en-CA"/>
              </w:rPr>
              <w:t>241</w:t>
            </w:r>
          </w:p>
        </w:tc>
        <w:tc>
          <w:tcPr>
            <w:tcW w:w="900" w:type="dxa"/>
            <w:tcBorders>
              <w:top w:val="single" w:sz="4" w:space="0" w:color="A6A6A6" w:themeColor="background1" w:themeShade="A6"/>
              <w:bottom w:val="single" w:sz="4" w:space="0" w:color="A6A6A6" w:themeColor="background1" w:themeShade="A6"/>
            </w:tcBorders>
            <w:hideMark/>
          </w:tcPr>
          <w:p w14:paraId="1F5BEDFE" w14:textId="77777777" w:rsidR="000113BB" w:rsidRPr="000113BB" w:rsidRDefault="000113BB" w:rsidP="000113BB">
            <w:pPr>
              <w:spacing w:after="120"/>
              <w:jc w:val="center"/>
              <w:rPr>
                <w:rFonts w:ascii="Garamond" w:hAnsi="Garamond"/>
                <w:bCs/>
                <w:sz w:val="20"/>
                <w:szCs w:val="20"/>
                <w:lang w:val="en-CA"/>
              </w:rPr>
            </w:pPr>
          </w:p>
        </w:tc>
        <w:tc>
          <w:tcPr>
            <w:tcW w:w="1170" w:type="dxa"/>
            <w:tcBorders>
              <w:top w:val="single" w:sz="4" w:space="0" w:color="A6A6A6" w:themeColor="background1" w:themeShade="A6"/>
              <w:bottom w:val="single" w:sz="4" w:space="0" w:color="A6A6A6" w:themeColor="background1" w:themeShade="A6"/>
            </w:tcBorders>
            <w:hideMark/>
          </w:tcPr>
          <w:p w14:paraId="24C5E717" w14:textId="77777777" w:rsidR="000113BB" w:rsidRPr="000113BB" w:rsidRDefault="000113BB" w:rsidP="000113BB">
            <w:pPr>
              <w:spacing w:after="120"/>
              <w:jc w:val="center"/>
              <w:rPr>
                <w:rFonts w:ascii="Garamond" w:hAnsi="Garamond"/>
                <w:bCs/>
                <w:sz w:val="20"/>
                <w:szCs w:val="20"/>
                <w:lang w:val="en-CA"/>
              </w:rPr>
            </w:pPr>
            <w:r w:rsidRPr="000113BB">
              <w:rPr>
                <w:rFonts w:ascii="Segoe UI Symbol" w:hAnsi="Segoe UI Symbol" w:cs="Segoe UI Symbol"/>
                <w:bCs/>
                <w:sz w:val="20"/>
                <w:szCs w:val="20"/>
                <w:lang w:val="en-CA"/>
              </w:rPr>
              <w:t>✓</w:t>
            </w:r>
          </w:p>
        </w:tc>
        <w:tc>
          <w:tcPr>
            <w:tcW w:w="900" w:type="dxa"/>
            <w:tcBorders>
              <w:top w:val="single" w:sz="4" w:space="0" w:color="A6A6A6" w:themeColor="background1" w:themeShade="A6"/>
              <w:bottom w:val="single" w:sz="4" w:space="0" w:color="A6A6A6" w:themeColor="background1" w:themeShade="A6"/>
            </w:tcBorders>
            <w:hideMark/>
          </w:tcPr>
          <w:p w14:paraId="573F3193" w14:textId="77777777" w:rsidR="000113BB" w:rsidRPr="000113BB" w:rsidRDefault="000113BB" w:rsidP="000113BB">
            <w:pPr>
              <w:spacing w:after="120"/>
              <w:jc w:val="center"/>
              <w:rPr>
                <w:rFonts w:ascii="Garamond" w:hAnsi="Garamond"/>
                <w:bCs/>
                <w:sz w:val="20"/>
                <w:szCs w:val="20"/>
                <w:lang w:val="en-CA"/>
              </w:rPr>
            </w:pPr>
          </w:p>
        </w:tc>
        <w:tc>
          <w:tcPr>
            <w:tcW w:w="990" w:type="dxa"/>
            <w:tcBorders>
              <w:top w:val="single" w:sz="4" w:space="0" w:color="A6A6A6" w:themeColor="background1" w:themeShade="A6"/>
              <w:bottom w:val="single" w:sz="4" w:space="0" w:color="A6A6A6" w:themeColor="background1" w:themeShade="A6"/>
            </w:tcBorders>
            <w:hideMark/>
          </w:tcPr>
          <w:p w14:paraId="2E5DB489" w14:textId="77777777" w:rsidR="000113BB" w:rsidRPr="000113BB" w:rsidRDefault="000113BB" w:rsidP="000113BB">
            <w:pPr>
              <w:spacing w:after="120"/>
              <w:jc w:val="center"/>
              <w:rPr>
                <w:rFonts w:ascii="Garamond" w:hAnsi="Garamond"/>
                <w:bCs/>
                <w:sz w:val="20"/>
                <w:szCs w:val="20"/>
                <w:lang w:val="en-CA"/>
              </w:rPr>
            </w:pPr>
          </w:p>
        </w:tc>
        <w:tc>
          <w:tcPr>
            <w:tcW w:w="900" w:type="dxa"/>
            <w:tcBorders>
              <w:top w:val="single" w:sz="4" w:space="0" w:color="A6A6A6" w:themeColor="background1" w:themeShade="A6"/>
              <w:bottom w:val="single" w:sz="4" w:space="0" w:color="A6A6A6" w:themeColor="background1" w:themeShade="A6"/>
            </w:tcBorders>
            <w:hideMark/>
          </w:tcPr>
          <w:p w14:paraId="5BE3C755" w14:textId="77777777" w:rsidR="000113BB" w:rsidRPr="000113BB" w:rsidRDefault="000113BB" w:rsidP="000113BB">
            <w:pPr>
              <w:spacing w:after="120"/>
              <w:jc w:val="center"/>
              <w:rPr>
                <w:rFonts w:ascii="Garamond" w:hAnsi="Garamond"/>
                <w:bCs/>
                <w:sz w:val="20"/>
                <w:szCs w:val="20"/>
                <w:lang w:val="en-CA"/>
              </w:rPr>
            </w:pPr>
          </w:p>
        </w:tc>
        <w:tc>
          <w:tcPr>
            <w:tcW w:w="900" w:type="dxa"/>
            <w:tcBorders>
              <w:top w:val="single" w:sz="4" w:space="0" w:color="A6A6A6" w:themeColor="background1" w:themeShade="A6"/>
              <w:bottom w:val="single" w:sz="4" w:space="0" w:color="A6A6A6" w:themeColor="background1" w:themeShade="A6"/>
            </w:tcBorders>
            <w:hideMark/>
          </w:tcPr>
          <w:p w14:paraId="4C62E05E" w14:textId="77777777" w:rsidR="000113BB" w:rsidRPr="000113BB" w:rsidRDefault="000113BB" w:rsidP="000113BB">
            <w:pPr>
              <w:spacing w:after="120"/>
              <w:jc w:val="center"/>
              <w:rPr>
                <w:rFonts w:ascii="Garamond" w:hAnsi="Garamond"/>
                <w:bCs/>
                <w:sz w:val="20"/>
                <w:szCs w:val="20"/>
                <w:lang w:val="en-CA"/>
              </w:rPr>
            </w:pPr>
          </w:p>
        </w:tc>
        <w:tc>
          <w:tcPr>
            <w:tcW w:w="990" w:type="dxa"/>
            <w:tcBorders>
              <w:top w:val="single" w:sz="4" w:space="0" w:color="A6A6A6" w:themeColor="background1" w:themeShade="A6"/>
              <w:bottom w:val="single" w:sz="4" w:space="0" w:color="A6A6A6" w:themeColor="background1" w:themeShade="A6"/>
            </w:tcBorders>
            <w:hideMark/>
          </w:tcPr>
          <w:p w14:paraId="084663D9" w14:textId="77777777" w:rsidR="000113BB" w:rsidRPr="000113BB" w:rsidRDefault="000113BB" w:rsidP="000113BB">
            <w:pPr>
              <w:spacing w:after="120"/>
              <w:jc w:val="center"/>
              <w:rPr>
                <w:rFonts w:ascii="Garamond" w:hAnsi="Garamond"/>
                <w:bCs/>
                <w:sz w:val="20"/>
                <w:szCs w:val="20"/>
                <w:lang w:val="en-CA"/>
              </w:rPr>
            </w:pPr>
            <w:r w:rsidRPr="000113BB">
              <w:rPr>
                <w:rFonts w:ascii="Segoe UI Symbol" w:hAnsi="Segoe UI Symbol" w:cs="Segoe UI Symbol"/>
                <w:bCs/>
                <w:sz w:val="20"/>
                <w:szCs w:val="20"/>
                <w:lang w:val="en-CA"/>
              </w:rPr>
              <w:t>✓</w:t>
            </w:r>
          </w:p>
        </w:tc>
        <w:tc>
          <w:tcPr>
            <w:tcW w:w="1080" w:type="dxa"/>
            <w:tcBorders>
              <w:top w:val="single" w:sz="4" w:space="0" w:color="A6A6A6" w:themeColor="background1" w:themeShade="A6"/>
              <w:bottom w:val="single" w:sz="4" w:space="0" w:color="A6A6A6" w:themeColor="background1" w:themeShade="A6"/>
            </w:tcBorders>
            <w:hideMark/>
          </w:tcPr>
          <w:p w14:paraId="0F712C50" w14:textId="77777777" w:rsidR="000113BB" w:rsidRPr="000113BB" w:rsidRDefault="000113BB" w:rsidP="000113BB">
            <w:pPr>
              <w:spacing w:after="120"/>
              <w:jc w:val="center"/>
              <w:rPr>
                <w:rFonts w:ascii="Garamond" w:hAnsi="Garamond"/>
                <w:bCs/>
                <w:sz w:val="20"/>
                <w:szCs w:val="20"/>
                <w:lang w:val="en-CA"/>
              </w:rPr>
            </w:pPr>
          </w:p>
        </w:tc>
        <w:tc>
          <w:tcPr>
            <w:tcW w:w="990" w:type="dxa"/>
            <w:tcBorders>
              <w:top w:val="single" w:sz="4" w:space="0" w:color="A6A6A6" w:themeColor="background1" w:themeShade="A6"/>
              <w:bottom w:val="single" w:sz="4" w:space="0" w:color="A6A6A6" w:themeColor="background1" w:themeShade="A6"/>
            </w:tcBorders>
            <w:hideMark/>
          </w:tcPr>
          <w:p w14:paraId="03BDC08C" w14:textId="77777777" w:rsidR="000113BB" w:rsidRPr="000113BB" w:rsidRDefault="000113BB" w:rsidP="000113BB">
            <w:pPr>
              <w:spacing w:after="120"/>
              <w:jc w:val="center"/>
              <w:rPr>
                <w:rFonts w:ascii="Garamond" w:hAnsi="Garamond"/>
                <w:bCs/>
                <w:sz w:val="20"/>
                <w:szCs w:val="20"/>
                <w:lang w:val="en-CA"/>
              </w:rPr>
            </w:pPr>
          </w:p>
        </w:tc>
      </w:tr>
      <w:tr w:rsidR="000113BB" w:rsidRPr="000113BB" w14:paraId="5B6C24D1" w14:textId="77777777" w:rsidTr="003856DA">
        <w:trPr>
          <w:trHeight w:val="600"/>
        </w:trPr>
        <w:tc>
          <w:tcPr>
            <w:tcW w:w="2070" w:type="dxa"/>
            <w:tcBorders>
              <w:top w:val="single" w:sz="4" w:space="0" w:color="A6A6A6" w:themeColor="background1" w:themeShade="A6"/>
              <w:bottom w:val="single" w:sz="4" w:space="0" w:color="A6A6A6" w:themeColor="background1" w:themeShade="A6"/>
            </w:tcBorders>
            <w:hideMark/>
          </w:tcPr>
          <w:p w14:paraId="3E895808" w14:textId="77777777" w:rsidR="000113BB" w:rsidRPr="000113BB" w:rsidRDefault="000113BB" w:rsidP="000113BB">
            <w:pPr>
              <w:spacing w:after="120"/>
              <w:rPr>
                <w:rFonts w:ascii="Garamond" w:hAnsi="Garamond"/>
                <w:bCs/>
                <w:sz w:val="20"/>
                <w:szCs w:val="20"/>
                <w:lang w:val="en-CA"/>
              </w:rPr>
            </w:pPr>
            <w:r w:rsidRPr="000113BB">
              <w:rPr>
                <w:rFonts w:ascii="Garamond" w:hAnsi="Garamond"/>
                <w:bCs/>
                <w:sz w:val="20"/>
                <w:szCs w:val="20"/>
                <w:lang w:val="en-CA"/>
              </w:rPr>
              <w:t>Hansen &amp; Lee (2007)</w:t>
            </w:r>
          </w:p>
        </w:tc>
        <w:tc>
          <w:tcPr>
            <w:tcW w:w="1800" w:type="dxa"/>
            <w:tcBorders>
              <w:top w:val="single" w:sz="4" w:space="0" w:color="A6A6A6" w:themeColor="background1" w:themeShade="A6"/>
              <w:bottom w:val="single" w:sz="4" w:space="0" w:color="A6A6A6" w:themeColor="background1" w:themeShade="A6"/>
            </w:tcBorders>
            <w:hideMark/>
          </w:tcPr>
          <w:p w14:paraId="3603106F" w14:textId="77777777" w:rsidR="000113BB" w:rsidRPr="000113BB" w:rsidRDefault="000113BB" w:rsidP="000113BB">
            <w:pPr>
              <w:spacing w:after="120"/>
              <w:rPr>
                <w:rFonts w:ascii="Garamond" w:hAnsi="Garamond"/>
                <w:bCs/>
                <w:sz w:val="20"/>
                <w:szCs w:val="20"/>
                <w:lang w:val="en-CA"/>
              </w:rPr>
            </w:pPr>
            <w:r w:rsidRPr="000113BB">
              <w:rPr>
                <w:rFonts w:ascii="Garamond" w:hAnsi="Garamond"/>
                <w:bCs/>
                <w:sz w:val="20"/>
                <w:szCs w:val="20"/>
                <w:lang w:val="en-CA"/>
              </w:rPr>
              <w:t>U.S. college students</w:t>
            </w:r>
          </w:p>
        </w:tc>
        <w:tc>
          <w:tcPr>
            <w:tcW w:w="900" w:type="dxa"/>
            <w:tcBorders>
              <w:top w:val="single" w:sz="4" w:space="0" w:color="A6A6A6" w:themeColor="background1" w:themeShade="A6"/>
              <w:bottom w:val="single" w:sz="4" w:space="0" w:color="A6A6A6" w:themeColor="background1" w:themeShade="A6"/>
            </w:tcBorders>
            <w:hideMark/>
          </w:tcPr>
          <w:p w14:paraId="2E9A50E3" w14:textId="77777777" w:rsidR="000113BB" w:rsidRPr="000113BB" w:rsidRDefault="000113BB" w:rsidP="000113BB">
            <w:pPr>
              <w:spacing w:after="120"/>
              <w:jc w:val="center"/>
              <w:rPr>
                <w:rFonts w:ascii="Garamond" w:hAnsi="Garamond"/>
                <w:bCs/>
                <w:sz w:val="20"/>
                <w:szCs w:val="20"/>
                <w:lang w:val="en-CA"/>
              </w:rPr>
            </w:pPr>
            <w:r w:rsidRPr="000113BB">
              <w:rPr>
                <w:rFonts w:ascii="Garamond" w:hAnsi="Garamond"/>
                <w:bCs/>
                <w:sz w:val="20"/>
                <w:szCs w:val="20"/>
                <w:lang w:val="en-CA"/>
              </w:rPr>
              <w:t>319</w:t>
            </w:r>
          </w:p>
        </w:tc>
        <w:tc>
          <w:tcPr>
            <w:tcW w:w="900" w:type="dxa"/>
            <w:tcBorders>
              <w:top w:val="single" w:sz="4" w:space="0" w:color="A6A6A6" w:themeColor="background1" w:themeShade="A6"/>
              <w:bottom w:val="single" w:sz="4" w:space="0" w:color="A6A6A6" w:themeColor="background1" w:themeShade="A6"/>
            </w:tcBorders>
            <w:hideMark/>
          </w:tcPr>
          <w:p w14:paraId="711DD0C8" w14:textId="77777777" w:rsidR="000113BB" w:rsidRPr="000113BB" w:rsidRDefault="000113BB" w:rsidP="000113BB">
            <w:pPr>
              <w:spacing w:after="120"/>
              <w:jc w:val="center"/>
              <w:rPr>
                <w:rFonts w:ascii="Garamond" w:hAnsi="Garamond"/>
                <w:bCs/>
                <w:sz w:val="20"/>
                <w:szCs w:val="20"/>
                <w:lang w:val="en-CA"/>
              </w:rPr>
            </w:pPr>
          </w:p>
        </w:tc>
        <w:tc>
          <w:tcPr>
            <w:tcW w:w="1170" w:type="dxa"/>
            <w:tcBorders>
              <w:top w:val="single" w:sz="4" w:space="0" w:color="A6A6A6" w:themeColor="background1" w:themeShade="A6"/>
              <w:bottom w:val="single" w:sz="4" w:space="0" w:color="A6A6A6" w:themeColor="background1" w:themeShade="A6"/>
            </w:tcBorders>
            <w:hideMark/>
          </w:tcPr>
          <w:p w14:paraId="1FDF6AF7" w14:textId="77777777" w:rsidR="000113BB" w:rsidRPr="000113BB" w:rsidRDefault="000113BB" w:rsidP="000113BB">
            <w:pPr>
              <w:spacing w:after="120"/>
              <w:jc w:val="center"/>
              <w:rPr>
                <w:rFonts w:ascii="Garamond" w:hAnsi="Garamond"/>
                <w:bCs/>
                <w:sz w:val="20"/>
                <w:szCs w:val="20"/>
                <w:lang w:val="en-CA"/>
              </w:rPr>
            </w:pPr>
            <w:r w:rsidRPr="000113BB">
              <w:rPr>
                <w:rFonts w:ascii="Segoe UI Symbol" w:hAnsi="Segoe UI Symbol" w:cs="Segoe UI Symbol"/>
                <w:bCs/>
                <w:sz w:val="20"/>
                <w:szCs w:val="20"/>
                <w:lang w:val="en-CA"/>
              </w:rPr>
              <w:t>✓</w:t>
            </w:r>
          </w:p>
        </w:tc>
        <w:tc>
          <w:tcPr>
            <w:tcW w:w="900" w:type="dxa"/>
            <w:tcBorders>
              <w:top w:val="single" w:sz="4" w:space="0" w:color="A6A6A6" w:themeColor="background1" w:themeShade="A6"/>
              <w:bottom w:val="single" w:sz="4" w:space="0" w:color="A6A6A6" w:themeColor="background1" w:themeShade="A6"/>
            </w:tcBorders>
            <w:hideMark/>
          </w:tcPr>
          <w:p w14:paraId="59174532" w14:textId="77777777" w:rsidR="000113BB" w:rsidRPr="000113BB" w:rsidRDefault="000113BB" w:rsidP="000113BB">
            <w:pPr>
              <w:spacing w:after="120"/>
              <w:jc w:val="center"/>
              <w:rPr>
                <w:rFonts w:ascii="Garamond" w:hAnsi="Garamond"/>
                <w:bCs/>
                <w:sz w:val="20"/>
                <w:szCs w:val="20"/>
                <w:lang w:val="en-CA"/>
              </w:rPr>
            </w:pPr>
          </w:p>
        </w:tc>
        <w:tc>
          <w:tcPr>
            <w:tcW w:w="990" w:type="dxa"/>
            <w:tcBorders>
              <w:top w:val="single" w:sz="4" w:space="0" w:color="A6A6A6" w:themeColor="background1" w:themeShade="A6"/>
              <w:bottom w:val="single" w:sz="4" w:space="0" w:color="A6A6A6" w:themeColor="background1" w:themeShade="A6"/>
            </w:tcBorders>
            <w:hideMark/>
          </w:tcPr>
          <w:p w14:paraId="6CC6633B" w14:textId="77777777" w:rsidR="000113BB" w:rsidRPr="000113BB" w:rsidRDefault="000113BB" w:rsidP="000113BB">
            <w:pPr>
              <w:spacing w:after="120"/>
              <w:jc w:val="center"/>
              <w:rPr>
                <w:rFonts w:ascii="Garamond" w:hAnsi="Garamond"/>
                <w:bCs/>
                <w:sz w:val="20"/>
                <w:szCs w:val="20"/>
                <w:lang w:val="en-CA"/>
              </w:rPr>
            </w:pPr>
          </w:p>
        </w:tc>
        <w:tc>
          <w:tcPr>
            <w:tcW w:w="900" w:type="dxa"/>
            <w:tcBorders>
              <w:top w:val="single" w:sz="4" w:space="0" w:color="A6A6A6" w:themeColor="background1" w:themeShade="A6"/>
              <w:bottom w:val="single" w:sz="4" w:space="0" w:color="A6A6A6" w:themeColor="background1" w:themeShade="A6"/>
            </w:tcBorders>
            <w:hideMark/>
          </w:tcPr>
          <w:p w14:paraId="11D9C6FF" w14:textId="77777777" w:rsidR="000113BB" w:rsidRPr="000113BB" w:rsidRDefault="000113BB" w:rsidP="000113BB">
            <w:pPr>
              <w:spacing w:after="120"/>
              <w:jc w:val="center"/>
              <w:rPr>
                <w:rFonts w:ascii="Garamond" w:hAnsi="Garamond"/>
                <w:bCs/>
                <w:sz w:val="20"/>
                <w:szCs w:val="20"/>
                <w:lang w:val="en-CA"/>
              </w:rPr>
            </w:pPr>
          </w:p>
        </w:tc>
        <w:tc>
          <w:tcPr>
            <w:tcW w:w="900" w:type="dxa"/>
            <w:tcBorders>
              <w:top w:val="single" w:sz="4" w:space="0" w:color="A6A6A6" w:themeColor="background1" w:themeShade="A6"/>
              <w:bottom w:val="single" w:sz="4" w:space="0" w:color="A6A6A6" w:themeColor="background1" w:themeShade="A6"/>
            </w:tcBorders>
            <w:hideMark/>
          </w:tcPr>
          <w:p w14:paraId="6AB3E227" w14:textId="77777777" w:rsidR="000113BB" w:rsidRPr="000113BB" w:rsidRDefault="000113BB" w:rsidP="000113BB">
            <w:pPr>
              <w:spacing w:after="120"/>
              <w:jc w:val="center"/>
              <w:rPr>
                <w:rFonts w:ascii="Garamond" w:hAnsi="Garamond"/>
                <w:bCs/>
                <w:sz w:val="20"/>
                <w:szCs w:val="20"/>
                <w:lang w:val="en-CA"/>
              </w:rPr>
            </w:pPr>
          </w:p>
        </w:tc>
        <w:tc>
          <w:tcPr>
            <w:tcW w:w="990" w:type="dxa"/>
            <w:tcBorders>
              <w:top w:val="single" w:sz="4" w:space="0" w:color="A6A6A6" w:themeColor="background1" w:themeShade="A6"/>
              <w:bottom w:val="single" w:sz="4" w:space="0" w:color="A6A6A6" w:themeColor="background1" w:themeShade="A6"/>
            </w:tcBorders>
            <w:hideMark/>
          </w:tcPr>
          <w:p w14:paraId="11F7D0E1" w14:textId="77777777" w:rsidR="000113BB" w:rsidRPr="000113BB" w:rsidRDefault="000113BB" w:rsidP="000113BB">
            <w:pPr>
              <w:spacing w:after="120"/>
              <w:jc w:val="center"/>
              <w:rPr>
                <w:rFonts w:ascii="Garamond" w:hAnsi="Garamond"/>
                <w:bCs/>
                <w:sz w:val="20"/>
                <w:szCs w:val="20"/>
                <w:lang w:val="en-CA"/>
              </w:rPr>
            </w:pPr>
            <w:r w:rsidRPr="000113BB">
              <w:rPr>
                <w:rFonts w:ascii="Segoe UI Symbol" w:hAnsi="Segoe UI Symbol" w:cs="Segoe UI Symbol"/>
                <w:bCs/>
                <w:sz w:val="20"/>
                <w:szCs w:val="20"/>
                <w:lang w:val="en-CA"/>
              </w:rPr>
              <w:t>✓</w:t>
            </w:r>
          </w:p>
        </w:tc>
        <w:tc>
          <w:tcPr>
            <w:tcW w:w="1080" w:type="dxa"/>
            <w:tcBorders>
              <w:top w:val="single" w:sz="4" w:space="0" w:color="A6A6A6" w:themeColor="background1" w:themeShade="A6"/>
              <w:bottom w:val="single" w:sz="4" w:space="0" w:color="A6A6A6" w:themeColor="background1" w:themeShade="A6"/>
            </w:tcBorders>
            <w:hideMark/>
          </w:tcPr>
          <w:p w14:paraId="6B1511FD" w14:textId="77777777" w:rsidR="000113BB" w:rsidRPr="000113BB" w:rsidRDefault="000113BB" w:rsidP="000113BB">
            <w:pPr>
              <w:spacing w:after="120"/>
              <w:jc w:val="center"/>
              <w:rPr>
                <w:rFonts w:ascii="Garamond" w:hAnsi="Garamond"/>
                <w:bCs/>
                <w:sz w:val="20"/>
                <w:szCs w:val="20"/>
                <w:lang w:val="en-CA"/>
              </w:rPr>
            </w:pPr>
          </w:p>
        </w:tc>
        <w:tc>
          <w:tcPr>
            <w:tcW w:w="990" w:type="dxa"/>
            <w:tcBorders>
              <w:top w:val="single" w:sz="4" w:space="0" w:color="A6A6A6" w:themeColor="background1" w:themeShade="A6"/>
              <w:bottom w:val="single" w:sz="4" w:space="0" w:color="A6A6A6" w:themeColor="background1" w:themeShade="A6"/>
            </w:tcBorders>
            <w:hideMark/>
          </w:tcPr>
          <w:p w14:paraId="22601757" w14:textId="77777777" w:rsidR="000113BB" w:rsidRPr="000113BB" w:rsidRDefault="000113BB" w:rsidP="000113BB">
            <w:pPr>
              <w:spacing w:after="120"/>
              <w:jc w:val="center"/>
              <w:rPr>
                <w:rFonts w:ascii="Garamond" w:hAnsi="Garamond"/>
                <w:bCs/>
                <w:sz w:val="20"/>
                <w:szCs w:val="20"/>
                <w:lang w:val="en-CA"/>
              </w:rPr>
            </w:pPr>
          </w:p>
        </w:tc>
      </w:tr>
      <w:tr w:rsidR="000113BB" w:rsidRPr="000113BB" w14:paraId="40C2E221" w14:textId="77777777" w:rsidTr="003856DA">
        <w:trPr>
          <w:trHeight w:val="300"/>
        </w:trPr>
        <w:tc>
          <w:tcPr>
            <w:tcW w:w="2070" w:type="dxa"/>
            <w:tcBorders>
              <w:top w:val="single" w:sz="4" w:space="0" w:color="A6A6A6" w:themeColor="background1" w:themeShade="A6"/>
              <w:bottom w:val="single" w:sz="4" w:space="0" w:color="A6A6A6" w:themeColor="background1" w:themeShade="A6"/>
            </w:tcBorders>
            <w:hideMark/>
          </w:tcPr>
          <w:p w14:paraId="5ECD5950" w14:textId="77777777" w:rsidR="000113BB" w:rsidRPr="000113BB" w:rsidRDefault="000113BB" w:rsidP="000113BB">
            <w:pPr>
              <w:spacing w:after="120"/>
              <w:rPr>
                <w:rFonts w:ascii="Garamond" w:hAnsi="Garamond"/>
                <w:bCs/>
                <w:sz w:val="20"/>
                <w:szCs w:val="20"/>
                <w:lang w:val="en-CA"/>
              </w:rPr>
            </w:pPr>
            <w:r w:rsidRPr="000113BB">
              <w:rPr>
                <w:rFonts w:ascii="Garamond" w:hAnsi="Garamond"/>
                <w:bCs/>
                <w:sz w:val="20"/>
                <w:szCs w:val="20"/>
                <w:lang w:val="en-CA"/>
              </w:rPr>
              <w:t>Harris &amp; Rottinghaus (2017)</w:t>
            </w:r>
          </w:p>
        </w:tc>
        <w:tc>
          <w:tcPr>
            <w:tcW w:w="1800" w:type="dxa"/>
            <w:tcBorders>
              <w:top w:val="single" w:sz="4" w:space="0" w:color="A6A6A6" w:themeColor="background1" w:themeShade="A6"/>
              <w:bottom w:val="single" w:sz="4" w:space="0" w:color="A6A6A6" w:themeColor="background1" w:themeShade="A6"/>
            </w:tcBorders>
            <w:hideMark/>
          </w:tcPr>
          <w:p w14:paraId="06E847C7" w14:textId="77777777" w:rsidR="000113BB" w:rsidRPr="000113BB" w:rsidRDefault="000113BB" w:rsidP="000113BB">
            <w:pPr>
              <w:spacing w:after="120"/>
              <w:rPr>
                <w:rFonts w:ascii="Garamond" w:hAnsi="Garamond"/>
                <w:bCs/>
                <w:sz w:val="20"/>
                <w:szCs w:val="20"/>
                <w:lang w:val="en-CA"/>
              </w:rPr>
            </w:pPr>
            <w:r w:rsidRPr="000113BB">
              <w:rPr>
                <w:rFonts w:ascii="Garamond" w:hAnsi="Garamond"/>
                <w:bCs/>
                <w:sz w:val="20"/>
                <w:szCs w:val="20"/>
                <w:lang w:val="en-CA"/>
              </w:rPr>
              <w:t>U.S. working adults</w:t>
            </w:r>
          </w:p>
        </w:tc>
        <w:tc>
          <w:tcPr>
            <w:tcW w:w="900" w:type="dxa"/>
            <w:tcBorders>
              <w:top w:val="single" w:sz="4" w:space="0" w:color="A6A6A6" w:themeColor="background1" w:themeShade="A6"/>
              <w:bottom w:val="single" w:sz="4" w:space="0" w:color="A6A6A6" w:themeColor="background1" w:themeShade="A6"/>
            </w:tcBorders>
            <w:hideMark/>
          </w:tcPr>
          <w:p w14:paraId="18165E7C" w14:textId="77777777" w:rsidR="000113BB" w:rsidRPr="000113BB" w:rsidRDefault="000113BB" w:rsidP="000113BB">
            <w:pPr>
              <w:spacing w:after="120"/>
              <w:jc w:val="center"/>
              <w:rPr>
                <w:rFonts w:ascii="Garamond" w:hAnsi="Garamond"/>
                <w:bCs/>
                <w:sz w:val="20"/>
                <w:szCs w:val="20"/>
                <w:lang w:val="en-CA"/>
              </w:rPr>
            </w:pPr>
            <w:r w:rsidRPr="000113BB">
              <w:rPr>
                <w:rFonts w:ascii="Garamond" w:hAnsi="Garamond"/>
                <w:bCs/>
                <w:sz w:val="20"/>
                <w:szCs w:val="20"/>
                <w:lang w:val="en-CA"/>
              </w:rPr>
              <w:t>4945</w:t>
            </w:r>
          </w:p>
        </w:tc>
        <w:tc>
          <w:tcPr>
            <w:tcW w:w="900" w:type="dxa"/>
            <w:tcBorders>
              <w:top w:val="single" w:sz="4" w:space="0" w:color="A6A6A6" w:themeColor="background1" w:themeShade="A6"/>
              <w:bottom w:val="single" w:sz="4" w:space="0" w:color="A6A6A6" w:themeColor="background1" w:themeShade="A6"/>
            </w:tcBorders>
            <w:hideMark/>
          </w:tcPr>
          <w:p w14:paraId="2D336F93" w14:textId="77777777" w:rsidR="000113BB" w:rsidRPr="000113BB" w:rsidRDefault="000113BB" w:rsidP="000113BB">
            <w:pPr>
              <w:spacing w:after="120"/>
              <w:jc w:val="center"/>
              <w:rPr>
                <w:rFonts w:ascii="Garamond" w:hAnsi="Garamond"/>
                <w:bCs/>
                <w:sz w:val="20"/>
                <w:szCs w:val="20"/>
                <w:lang w:val="en-CA"/>
              </w:rPr>
            </w:pPr>
          </w:p>
        </w:tc>
        <w:tc>
          <w:tcPr>
            <w:tcW w:w="1170" w:type="dxa"/>
            <w:tcBorders>
              <w:top w:val="single" w:sz="4" w:space="0" w:color="A6A6A6" w:themeColor="background1" w:themeShade="A6"/>
              <w:bottom w:val="single" w:sz="4" w:space="0" w:color="A6A6A6" w:themeColor="background1" w:themeShade="A6"/>
            </w:tcBorders>
            <w:hideMark/>
          </w:tcPr>
          <w:p w14:paraId="294C1A8B" w14:textId="77777777" w:rsidR="000113BB" w:rsidRPr="000113BB" w:rsidRDefault="000113BB" w:rsidP="000113BB">
            <w:pPr>
              <w:spacing w:after="120"/>
              <w:jc w:val="center"/>
              <w:rPr>
                <w:rFonts w:ascii="Garamond" w:hAnsi="Garamond"/>
                <w:bCs/>
                <w:sz w:val="20"/>
                <w:szCs w:val="20"/>
                <w:lang w:val="en-CA"/>
              </w:rPr>
            </w:pPr>
            <w:r w:rsidRPr="000113BB">
              <w:rPr>
                <w:rFonts w:ascii="Segoe UI Symbol" w:hAnsi="Segoe UI Symbol" w:cs="Segoe UI Symbol"/>
                <w:bCs/>
                <w:sz w:val="20"/>
                <w:szCs w:val="20"/>
                <w:lang w:val="en-CA"/>
              </w:rPr>
              <w:t>✓</w:t>
            </w:r>
          </w:p>
        </w:tc>
        <w:tc>
          <w:tcPr>
            <w:tcW w:w="900" w:type="dxa"/>
            <w:tcBorders>
              <w:top w:val="single" w:sz="4" w:space="0" w:color="A6A6A6" w:themeColor="background1" w:themeShade="A6"/>
              <w:bottom w:val="single" w:sz="4" w:space="0" w:color="A6A6A6" w:themeColor="background1" w:themeShade="A6"/>
            </w:tcBorders>
            <w:hideMark/>
          </w:tcPr>
          <w:p w14:paraId="67A30C8D" w14:textId="77777777" w:rsidR="000113BB" w:rsidRPr="000113BB" w:rsidRDefault="000113BB" w:rsidP="000113BB">
            <w:pPr>
              <w:spacing w:after="120"/>
              <w:jc w:val="center"/>
              <w:rPr>
                <w:rFonts w:ascii="Garamond" w:hAnsi="Garamond"/>
                <w:bCs/>
                <w:sz w:val="20"/>
                <w:szCs w:val="20"/>
                <w:lang w:val="en-CA"/>
              </w:rPr>
            </w:pPr>
          </w:p>
        </w:tc>
        <w:tc>
          <w:tcPr>
            <w:tcW w:w="990" w:type="dxa"/>
            <w:tcBorders>
              <w:top w:val="single" w:sz="4" w:space="0" w:color="A6A6A6" w:themeColor="background1" w:themeShade="A6"/>
              <w:bottom w:val="single" w:sz="4" w:space="0" w:color="A6A6A6" w:themeColor="background1" w:themeShade="A6"/>
            </w:tcBorders>
            <w:hideMark/>
          </w:tcPr>
          <w:p w14:paraId="7525770E" w14:textId="77777777" w:rsidR="000113BB" w:rsidRPr="000113BB" w:rsidRDefault="000113BB" w:rsidP="000113BB">
            <w:pPr>
              <w:spacing w:after="120"/>
              <w:jc w:val="center"/>
              <w:rPr>
                <w:rFonts w:ascii="Garamond" w:hAnsi="Garamond"/>
                <w:bCs/>
                <w:sz w:val="20"/>
                <w:szCs w:val="20"/>
                <w:lang w:val="en-CA"/>
              </w:rPr>
            </w:pPr>
          </w:p>
        </w:tc>
        <w:tc>
          <w:tcPr>
            <w:tcW w:w="900" w:type="dxa"/>
            <w:tcBorders>
              <w:top w:val="single" w:sz="4" w:space="0" w:color="A6A6A6" w:themeColor="background1" w:themeShade="A6"/>
              <w:bottom w:val="single" w:sz="4" w:space="0" w:color="A6A6A6" w:themeColor="background1" w:themeShade="A6"/>
            </w:tcBorders>
            <w:hideMark/>
          </w:tcPr>
          <w:p w14:paraId="39553B43" w14:textId="77777777" w:rsidR="000113BB" w:rsidRPr="000113BB" w:rsidRDefault="000113BB" w:rsidP="000113BB">
            <w:pPr>
              <w:spacing w:after="120"/>
              <w:jc w:val="center"/>
              <w:rPr>
                <w:rFonts w:ascii="Garamond" w:hAnsi="Garamond"/>
                <w:bCs/>
                <w:sz w:val="20"/>
                <w:szCs w:val="20"/>
                <w:lang w:val="en-CA"/>
              </w:rPr>
            </w:pPr>
            <w:r w:rsidRPr="000113BB">
              <w:rPr>
                <w:rFonts w:ascii="Segoe UI Symbol" w:hAnsi="Segoe UI Symbol" w:cs="Segoe UI Symbol"/>
                <w:bCs/>
                <w:sz w:val="20"/>
                <w:szCs w:val="20"/>
                <w:lang w:val="en-CA"/>
              </w:rPr>
              <w:t>✓</w:t>
            </w:r>
          </w:p>
        </w:tc>
        <w:tc>
          <w:tcPr>
            <w:tcW w:w="900" w:type="dxa"/>
            <w:tcBorders>
              <w:top w:val="single" w:sz="4" w:space="0" w:color="A6A6A6" w:themeColor="background1" w:themeShade="A6"/>
              <w:bottom w:val="single" w:sz="4" w:space="0" w:color="A6A6A6" w:themeColor="background1" w:themeShade="A6"/>
            </w:tcBorders>
            <w:hideMark/>
          </w:tcPr>
          <w:p w14:paraId="15CF57D4" w14:textId="77777777" w:rsidR="000113BB" w:rsidRPr="000113BB" w:rsidRDefault="000113BB" w:rsidP="000113BB">
            <w:pPr>
              <w:spacing w:after="120"/>
              <w:jc w:val="center"/>
              <w:rPr>
                <w:rFonts w:ascii="Garamond" w:hAnsi="Garamond"/>
                <w:bCs/>
                <w:sz w:val="20"/>
                <w:szCs w:val="20"/>
                <w:lang w:val="en-CA"/>
              </w:rPr>
            </w:pPr>
          </w:p>
        </w:tc>
        <w:tc>
          <w:tcPr>
            <w:tcW w:w="990" w:type="dxa"/>
            <w:tcBorders>
              <w:top w:val="single" w:sz="4" w:space="0" w:color="A6A6A6" w:themeColor="background1" w:themeShade="A6"/>
              <w:bottom w:val="single" w:sz="4" w:space="0" w:color="A6A6A6" w:themeColor="background1" w:themeShade="A6"/>
            </w:tcBorders>
            <w:hideMark/>
          </w:tcPr>
          <w:p w14:paraId="4E69155D" w14:textId="77777777" w:rsidR="000113BB" w:rsidRPr="000113BB" w:rsidRDefault="000113BB" w:rsidP="000113BB">
            <w:pPr>
              <w:spacing w:after="120"/>
              <w:jc w:val="center"/>
              <w:rPr>
                <w:rFonts w:ascii="Garamond" w:hAnsi="Garamond"/>
                <w:bCs/>
                <w:sz w:val="20"/>
                <w:szCs w:val="20"/>
                <w:lang w:val="en-CA"/>
              </w:rPr>
            </w:pPr>
            <w:r w:rsidRPr="000113BB">
              <w:rPr>
                <w:rFonts w:ascii="Segoe UI Symbol" w:hAnsi="Segoe UI Symbol" w:cs="Segoe UI Symbol"/>
                <w:bCs/>
                <w:sz w:val="20"/>
                <w:szCs w:val="20"/>
                <w:lang w:val="en-CA"/>
              </w:rPr>
              <w:t>✓</w:t>
            </w:r>
          </w:p>
        </w:tc>
        <w:tc>
          <w:tcPr>
            <w:tcW w:w="1080" w:type="dxa"/>
            <w:tcBorders>
              <w:top w:val="single" w:sz="4" w:space="0" w:color="A6A6A6" w:themeColor="background1" w:themeShade="A6"/>
              <w:bottom w:val="single" w:sz="4" w:space="0" w:color="A6A6A6" w:themeColor="background1" w:themeShade="A6"/>
            </w:tcBorders>
            <w:hideMark/>
          </w:tcPr>
          <w:p w14:paraId="30657737" w14:textId="77777777" w:rsidR="000113BB" w:rsidRPr="000113BB" w:rsidRDefault="000113BB" w:rsidP="000113BB">
            <w:pPr>
              <w:spacing w:after="120"/>
              <w:jc w:val="center"/>
              <w:rPr>
                <w:rFonts w:ascii="Garamond" w:hAnsi="Garamond"/>
                <w:bCs/>
                <w:sz w:val="20"/>
                <w:szCs w:val="20"/>
                <w:lang w:val="en-CA"/>
              </w:rPr>
            </w:pPr>
          </w:p>
        </w:tc>
        <w:tc>
          <w:tcPr>
            <w:tcW w:w="990" w:type="dxa"/>
            <w:tcBorders>
              <w:top w:val="single" w:sz="4" w:space="0" w:color="A6A6A6" w:themeColor="background1" w:themeShade="A6"/>
              <w:bottom w:val="single" w:sz="4" w:space="0" w:color="A6A6A6" w:themeColor="background1" w:themeShade="A6"/>
            </w:tcBorders>
            <w:hideMark/>
          </w:tcPr>
          <w:p w14:paraId="3F9B3812" w14:textId="77777777" w:rsidR="000113BB" w:rsidRPr="000113BB" w:rsidRDefault="000113BB" w:rsidP="000113BB">
            <w:pPr>
              <w:spacing w:after="120"/>
              <w:jc w:val="center"/>
              <w:rPr>
                <w:rFonts w:ascii="Garamond" w:hAnsi="Garamond"/>
                <w:bCs/>
                <w:sz w:val="20"/>
                <w:szCs w:val="20"/>
                <w:lang w:val="en-CA"/>
              </w:rPr>
            </w:pPr>
          </w:p>
        </w:tc>
      </w:tr>
      <w:tr w:rsidR="00931E2F" w:rsidRPr="000113BB" w14:paraId="4A922D06" w14:textId="77777777" w:rsidTr="003856DA">
        <w:trPr>
          <w:trHeight w:val="300"/>
        </w:trPr>
        <w:tc>
          <w:tcPr>
            <w:tcW w:w="2070" w:type="dxa"/>
            <w:tcBorders>
              <w:top w:val="single" w:sz="4" w:space="0" w:color="A6A6A6" w:themeColor="background1" w:themeShade="A6"/>
              <w:bottom w:val="single" w:sz="4" w:space="0" w:color="A6A6A6" w:themeColor="background1" w:themeShade="A6"/>
            </w:tcBorders>
          </w:tcPr>
          <w:p w14:paraId="0A06F968" w14:textId="4D37466C" w:rsidR="00931E2F" w:rsidRPr="000113BB" w:rsidRDefault="00931E2F" w:rsidP="000113BB">
            <w:pPr>
              <w:spacing w:after="120"/>
              <w:rPr>
                <w:rFonts w:ascii="Garamond" w:hAnsi="Garamond"/>
                <w:bCs/>
                <w:sz w:val="20"/>
                <w:szCs w:val="20"/>
                <w:lang w:val="en-CA"/>
              </w:rPr>
            </w:pPr>
            <w:r w:rsidRPr="00931E2F">
              <w:rPr>
                <w:rFonts w:ascii="Garamond" w:hAnsi="Garamond"/>
                <w:bCs/>
                <w:sz w:val="20"/>
                <w:szCs w:val="20"/>
                <w:lang w:val="en-CA"/>
              </w:rPr>
              <w:t>Kantamneni (2014)</w:t>
            </w:r>
          </w:p>
        </w:tc>
        <w:tc>
          <w:tcPr>
            <w:tcW w:w="1800" w:type="dxa"/>
            <w:tcBorders>
              <w:top w:val="single" w:sz="4" w:space="0" w:color="A6A6A6" w:themeColor="background1" w:themeShade="A6"/>
              <w:bottom w:val="single" w:sz="4" w:space="0" w:color="A6A6A6" w:themeColor="background1" w:themeShade="A6"/>
            </w:tcBorders>
          </w:tcPr>
          <w:p w14:paraId="489AD08A" w14:textId="133929CC" w:rsidR="00931E2F" w:rsidRPr="000113BB" w:rsidRDefault="00D14A41" w:rsidP="00D14A41">
            <w:pPr>
              <w:spacing w:after="120"/>
              <w:rPr>
                <w:rFonts w:ascii="Garamond" w:hAnsi="Garamond"/>
                <w:bCs/>
                <w:sz w:val="20"/>
                <w:szCs w:val="20"/>
                <w:lang w:val="en-CA"/>
              </w:rPr>
            </w:pPr>
            <w:r>
              <w:rPr>
                <w:rFonts w:ascii="Garamond" w:hAnsi="Garamond"/>
                <w:bCs/>
                <w:sz w:val="20"/>
                <w:szCs w:val="20"/>
                <w:lang w:val="en-CA"/>
              </w:rPr>
              <w:t>Asian, Middle Eastern, and Native American</w:t>
            </w:r>
          </w:p>
        </w:tc>
        <w:tc>
          <w:tcPr>
            <w:tcW w:w="900" w:type="dxa"/>
            <w:tcBorders>
              <w:top w:val="single" w:sz="4" w:space="0" w:color="A6A6A6" w:themeColor="background1" w:themeShade="A6"/>
              <w:bottom w:val="single" w:sz="4" w:space="0" w:color="A6A6A6" w:themeColor="background1" w:themeShade="A6"/>
            </w:tcBorders>
          </w:tcPr>
          <w:p w14:paraId="763F1C17" w14:textId="612EDAB0" w:rsidR="00931E2F" w:rsidRPr="000113BB" w:rsidRDefault="00D14A41" w:rsidP="000113BB">
            <w:pPr>
              <w:spacing w:after="120"/>
              <w:jc w:val="center"/>
              <w:rPr>
                <w:rFonts w:ascii="Garamond" w:hAnsi="Garamond"/>
                <w:bCs/>
                <w:sz w:val="20"/>
                <w:szCs w:val="20"/>
                <w:lang w:val="en-CA"/>
              </w:rPr>
            </w:pPr>
            <w:r>
              <w:rPr>
                <w:rFonts w:ascii="Garamond" w:hAnsi="Garamond"/>
                <w:bCs/>
                <w:sz w:val="20"/>
                <w:szCs w:val="20"/>
                <w:lang w:val="en-CA"/>
              </w:rPr>
              <w:t>22394</w:t>
            </w:r>
          </w:p>
        </w:tc>
        <w:tc>
          <w:tcPr>
            <w:tcW w:w="900" w:type="dxa"/>
            <w:tcBorders>
              <w:top w:val="single" w:sz="4" w:space="0" w:color="A6A6A6" w:themeColor="background1" w:themeShade="A6"/>
              <w:bottom w:val="single" w:sz="4" w:space="0" w:color="A6A6A6" w:themeColor="background1" w:themeShade="A6"/>
            </w:tcBorders>
          </w:tcPr>
          <w:p w14:paraId="6E259603" w14:textId="77777777" w:rsidR="00931E2F" w:rsidRPr="000113BB" w:rsidRDefault="00931E2F" w:rsidP="000113BB">
            <w:pPr>
              <w:spacing w:after="120"/>
              <w:jc w:val="center"/>
              <w:rPr>
                <w:rFonts w:ascii="Garamond" w:hAnsi="Garamond"/>
                <w:bCs/>
                <w:sz w:val="20"/>
                <w:szCs w:val="20"/>
                <w:lang w:val="en-CA"/>
              </w:rPr>
            </w:pPr>
          </w:p>
        </w:tc>
        <w:tc>
          <w:tcPr>
            <w:tcW w:w="1170" w:type="dxa"/>
            <w:tcBorders>
              <w:top w:val="single" w:sz="4" w:space="0" w:color="A6A6A6" w:themeColor="background1" w:themeShade="A6"/>
              <w:bottom w:val="single" w:sz="4" w:space="0" w:color="A6A6A6" w:themeColor="background1" w:themeShade="A6"/>
            </w:tcBorders>
          </w:tcPr>
          <w:p w14:paraId="32F8F471" w14:textId="39ABE78B" w:rsidR="00931E2F" w:rsidRPr="000113BB" w:rsidRDefault="00D14A41" w:rsidP="000113BB">
            <w:pPr>
              <w:spacing w:after="120"/>
              <w:jc w:val="center"/>
              <w:rPr>
                <w:rFonts w:ascii="Segoe UI Symbol" w:hAnsi="Segoe UI Symbol" w:cs="Segoe UI Symbol"/>
                <w:bCs/>
                <w:sz w:val="20"/>
                <w:szCs w:val="20"/>
                <w:lang w:val="en-CA"/>
              </w:rPr>
            </w:pPr>
            <w:r w:rsidRPr="000113BB">
              <w:rPr>
                <w:rFonts w:ascii="Segoe UI Symbol" w:hAnsi="Segoe UI Symbol" w:cs="Segoe UI Symbol"/>
                <w:bCs/>
                <w:sz w:val="20"/>
                <w:szCs w:val="20"/>
                <w:lang w:val="en-CA"/>
              </w:rPr>
              <w:t>✓</w:t>
            </w:r>
          </w:p>
        </w:tc>
        <w:tc>
          <w:tcPr>
            <w:tcW w:w="900" w:type="dxa"/>
            <w:tcBorders>
              <w:top w:val="single" w:sz="4" w:space="0" w:color="A6A6A6" w:themeColor="background1" w:themeShade="A6"/>
              <w:bottom w:val="single" w:sz="4" w:space="0" w:color="A6A6A6" w:themeColor="background1" w:themeShade="A6"/>
            </w:tcBorders>
          </w:tcPr>
          <w:p w14:paraId="13C65690" w14:textId="77777777" w:rsidR="00931E2F" w:rsidRPr="000113BB" w:rsidRDefault="00931E2F" w:rsidP="000113BB">
            <w:pPr>
              <w:spacing w:after="120"/>
              <w:jc w:val="center"/>
              <w:rPr>
                <w:rFonts w:ascii="Garamond" w:hAnsi="Garamond"/>
                <w:bCs/>
                <w:sz w:val="20"/>
                <w:szCs w:val="20"/>
                <w:lang w:val="en-CA"/>
              </w:rPr>
            </w:pPr>
          </w:p>
        </w:tc>
        <w:tc>
          <w:tcPr>
            <w:tcW w:w="990" w:type="dxa"/>
            <w:tcBorders>
              <w:top w:val="single" w:sz="4" w:space="0" w:color="A6A6A6" w:themeColor="background1" w:themeShade="A6"/>
              <w:bottom w:val="single" w:sz="4" w:space="0" w:color="A6A6A6" w:themeColor="background1" w:themeShade="A6"/>
            </w:tcBorders>
          </w:tcPr>
          <w:p w14:paraId="3AF39F0A" w14:textId="04A72668" w:rsidR="00931E2F" w:rsidRPr="000113BB" w:rsidRDefault="00D14A41" w:rsidP="000113BB">
            <w:pPr>
              <w:spacing w:after="120"/>
              <w:jc w:val="center"/>
              <w:rPr>
                <w:rFonts w:ascii="Garamond" w:hAnsi="Garamond"/>
                <w:bCs/>
                <w:sz w:val="20"/>
                <w:szCs w:val="20"/>
                <w:lang w:val="en-CA"/>
              </w:rPr>
            </w:pPr>
            <w:r w:rsidRPr="000113BB">
              <w:rPr>
                <w:rFonts w:ascii="Segoe UI Symbol" w:hAnsi="Segoe UI Symbol" w:cs="Segoe UI Symbol"/>
                <w:bCs/>
                <w:sz w:val="20"/>
                <w:szCs w:val="20"/>
                <w:lang w:val="en-CA"/>
              </w:rPr>
              <w:t>✓</w:t>
            </w:r>
          </w:p>
        </w:tc>
        <w:tc>
          <w:tcPr>
            <w:tcW w:w="900" w:type="dxa"/>
            <w:tcBorders>
              <w:top w:val="single" w:sz="4" w:space="0" w:color="A6A6A6" w:themeColor="background1" w:themeShade="A6"/>
              <w:bottom w:val="single" w:sz="4" w:space="0" w:color="A6A6A6" w:themeColor="background1" w:themeShade="A6"/>
            </w:tcBorders>
          </w:tcPr>
          <w:p w14:paraId="2F291C79" w14:textId="17106B8B" w:rsidR="00931E2F" w:rsidRPr="000113BB" w:rsidRDefault="00D14A41" w:rsidP="000113BB">
            <w:pPr>
              <w:spacing w:after="120"/>
              <w:jc w:val="center"/>
              <w:rPr>
                <w:rFonts w:ascii="Segoe UI Symbol" w:hAnsi="Segoe UI Symbol" w:cs="Segoe UI Symbol"/>
                <w:bCs/>
                <w:sz w:val="20"/>
                <w:szCs w:val="20"/>
                <w:lang w:val="en-CA"/>
              </w:rPr>
            </w:pPr>
            <w:r w:rsidRPr="000113BB">
              <w:rPr>
                <w:rFonts w:ascii="Segoe UI Symbol" w:hAnsi="Segoe UI Symbol" w:cs="Segoe UI Symbol"/>
                <w:bCs/>
                <w:sz w:val="20"/>
                <w:szCs w:val="20"/>
                <w:lang w:val="en-CA"/>
              </w:rPr>
              <w:t>✓</w:t>
            </w:r>
          </w:p>
        </w:tc>
        <w:tc>
          <w:tcPr>
            <w:tcW w:w="900" w:type="dxa"/>
            <w:tcBorders>
              <w:top w:val="single" w:sz="4" w:space="0" w:color="A6A6A6" w:themeColor="background1" w:themeShade="A6"/>
              <w:bottom w:val="single" w:sz="4" w:space="0" w:color="A6A6A6" w:themeColor="background1" w:themeShade="A6"/>
            </w:tcBorders>
          </w:tcPr>
          <w:p w14:paraId="57361FA1" w14:textId="77777777" w:rsidR="00931E2F" w:rsidRPr="000113BB" w:rsidRDefault="00931E2F" w:rsidP="000113BB">
            <w:pPr>
              <w:spacing w:after="120"/>
              <w:jc w:val="center"/>
              <w:rPr>
                <w:rFonts w:ascii="Garamond" w:hAnsi="Garamond"/>
                <w:bCs/>
                <w:sz w:val="20"/>
                <w:szCs w:val="20"/>
                <w:lang w:val="en-CA"/>
              </w:rPr>
            </w:pPr>
          </w:p>
        </w:tc>
        <w:tc>
          <w:tcPr>
            <w:tcW w:w="990" w:type="dxa"/>
            <w:tcBorders>
              <w:top w:val="single" w:sz="4" w:space="0" w:color="A6A6A6" w:themeColor="background1" w:themeShade="A6"/>
              <w:bottom w:val="single" w:sz="4" w:space="0" w:color="A6A6A6" w:themeColor="background1" w:themeShade="A6"/>
            </w:tcBorders>
          </w:tcPr>
          <w:p w14:paraId="52683CE0" w14:textId="77777777" w:rsidR="00931E2F" w:rsidRPr="000113BB" w:rsidRDefault="00931E2F" w:rsidP="000113BB">
            <w:pPr>
              <w:spacing w:after="120"/>
              <w:jc w:val="center"/>
              <w:rPr>
                <w:rFonts w:ascii="Segoe UI Symbol" w:hAnsi="Segoe UI Symbol" w:cs="Segoe UI Symbol"/>
                <w:bCs/>
                <w:sz w:val="20"/>
                <w:szCs w:val="20"/>
                <w:lang w:val="en-CA"/>
              </w:rPr>
            </w:pPr>
          </w:p>
        </w:tc>
        <w:tc>
          <w:tcPr>
            <w:tcW w:w="1080" w:type="dxa"/>
            <w:tcBorders>
              <w:top w:val="single" w:sz="4" w:space="0" w:color="A6A6A6" w:themeColor="background1" w:themeShade="A6"/>
              <w:bottom w:val="single" w:sz="4" w:space="0" w:color="A6A6A6" w:themeColor="background1" w:themeShade="A6"/>
            </w:tcBorders>
          </w:tcPr>
          <w:p w14:paraId="03F451F8" w14:textId="77777777" w:rsidR="00931E2F" w:rsidRPr="000113BB" w:rsidRDefault="00931E2F" w:rsidP="000113BB">
            <w:pPr>
              <w:spacing w:after="120"/>
              <w:jc w:val="center"/>
              <w:rPr>
                <w:rFonts w:ascii="Garamond" w:hAnsi="Garamond"/>
                <w:bCs/>
                <w:sz w:val="20"/>
                <w:szCs w:val="20"/>
                <w:lang w:val="en-CA"/>
              </w:rPr>
            </w:pPr>
          </w:p>
        </w:tc>
        <w:tc>
          <w:tcPr>
            <w:tcW w:w="990" w:type="dxa"/>
            <w:tcBorders>
              <w:top w:val="single" w:sz="4" w:space="0" w:color="A6A6A6" w:themeColor="background1" w:themeShade="A6"/>
              <w:bottom w:val="single" w:sz="4" w:space="0" w:color="A6A6A6" w:themeColor="background1" w:themeShade="A6"/>
            </w:tcBorders>
          </w:tcPr>
          <w:p w14:paraId="4EF93C7B" w14:textId="77777777" w:rsidR="00931E2F" w:rsidRPr="000113BB" w:rsidRDefault="00931E2F" w:rsidP="000113BB">
            <w:pPr>
              <w:spacing w:after="120"/>
              <w:jc w:val="center"/>
              <w:rPr>
                <w:rFonts w:ascii="Garamond" w:hAnsi="Garamond"/>
                <w:bCs/>
                <w:sz w:val="20"/>
                <w:szCs w:val="20"/>
                <w:lang w:val="en-CA"/>
              </w:rPr>
            </w:pPr>
          </w:p>
        </w:tc>
      </w:tr>
      <w:tr w:rsidR="000113BB" w:rsidRPr="000113BB" w14:paraId="07899A28" w14:textId="77777777" w:rsidTr="003856DA">
        <w:trPr>
          <w:trHeight w:val="600"/>
        </w:trPr>
        <w:tc>
          <w:tcPr>
            <w:tcW w:w="2070" w:type="dxa"/>
            <w:tcBorders>
              <w:top w:val="single" w:sz="4" w:space="0" w:color="A6A6A6" w:themeColor="background1" w:themeShade="A6"/>
              <w:bottom w:val="single" w:sz="4" w:space="0" w:color="A6A6A6" w:themeColor="background1" w:themeShade="A6"/>
            </w:tcBorders>
            <w:hideMark/>
          </w:tcPr>
          <w:p w14:paraId="0F69F2CB" w14:textId="77777777" w:rsidR="000113BB" w:rsidRPr="000113BB" w:rsidRDefault="000113BB" w:rsidP="000113BB">
            <w:pPr>
              <w:spacing w:after="120"/>
              <w:rPr>
                <w:rFonts w:ascii="Garamond" w:hAnsi="Garamond"/>
                <w:bCs/>
                <w:sz w:val="20"/>
                <w:szCs w:val="20"/>
                <w:lang w:val="en-CA"/>
              </w:rPr>
            </w:pPr>
            <w:r w:rsidRPr="000113BB">
              <w:rPr>
                <w:rFonts w:ascii="Garamond" w:hAnsi="Garamond"/>
                <w:bCs/>
                <w:sz w:val="20"/>
                <w:szCs w:val="20"/>
                <w:lang w:val="en-CA"/>
              </w:rPr>
              <w:t>Kantamneni &amp; Fouad (2011)</w:t>
            </w:r>
          </w:p>
        </w:tc>
        <w:tc>
          <w:tcPr>
            <w:tcW w:w="1800" w:type="dxa"/>
            <w:tcBorders>
              <w:top w:val="single" w:sz="4" w:space="0" w:color="A6A6A6" w:themeColor="background1" w:themeShade="A6"/>
              <w:bottom w:val="single" w:sz="4" w:space="0" w:color="A6A6A6" w:themeColor="background1" w:themeShade="A6"/>
            </w:tcBorders>
            <w:hideMark/>
          </w:tcPr>
          <w:p w14:paraId="6E941150" w14:textId="77777777" w:rsidR="000113BB" w:rsidRPr="000113BB" w:rsidRDefault="000113BB" w:rsidP="000113BB">
            <w:pPr>
              <w:spacing w:after="120"/>
              <w:rPr>
                <w:rFonts w:ascii="Garamond" w:hAnsi="Garamond"/>
                <w:bCs/>
                <w:sz w:val="20"/>
                <w:szCs w:val="20"/>
                <w:lang w:val="en-CA"/>
              </w:rPr>
            </w:pPr>
            <w:r w:rsidRPr="000113BB">
              <w:rPr>
                <w:rFonts w:ascii="Garamond" w:hAnsi="Garamond"/>
                <w:bCs/>
                <w:sz w:val="20"/>
                <w:szCs w:val="20"/>
                <w:lang w:val="en-CA"/>
              </w:rPr>
              <w:t>Afr-Am, Latino/a, White</w:t>
            </w:r>
          </w:p>
        </w:tc>
        <w:tc>
          <w:tcPr>
            <w:tcW w:w="900" w:type="dxa"/>
            <w:tcBorders>
              <w:top w:val="single" w:sz="4" w:space="0" w:color="A6A6A6" w:themeColor="background1" w:themeShade="A6"/>
              <w:bottom w:val="single" w:sz="4" w:space="0" w:color="A6A6A6" w:themeColor="background1" w:themeShade="A6"/>
            </w:tcBorders>
            <w:hideMark/>
          </w:tcPr>
          <w:p w14:paraId="41691369" w14:textId="77777777" w:rsidR="000113BB" w:rsidRPr="000113BB" w:rsidRDefault="000113BB" w:rsidP="000113BB">
            <w:pPr>
              <w:spacing w:after="120"/>
              <w:jc w:val="center"/>
              <w:rPr>
                <w:rFonts w:ascii="Garamond" w:hAnsi="Garamond"/>
                <w:bCs/>
                <w:sz w:val="20"/>
                <w:szCs w:val="20"/>
                <w:lang w:val="en-CA"/>
              </w:rPr>
            </w:pPr>
            <w:r w:rsidRPr="000113BB">
              <w:rPr>
                <w:rFonts w:ascii="Garamond" w:hAnsi="Garamond"/>
                <w:bCs/>
                <w:sz w:val="20"/>
                <w:szCs w:val="20"/>
                <w:lang w:val="en-CA"/>
              </w:rPr>
              <w:t>136219</w:t>
            </w:r>
          </w:p>
        </w:tc>
        <w:tc>
          <w:tcPr>
            <w:tcW w:w="900" w:type="dxa"/>
            <w:tcBorders>
              <w:top w:val="single" w:sz="4" w:space="0" w:color="A6A6A6" w:themeColor="background1" w:themeShade="A6"/>
              <w:bottom w:val="single" w:sz="4" w:space="0" w:color="A6A6A6" w:themeColor="background1" w:themeShade="A6"/>
            </w:tcBorders>
            <w:hideMark/>
          </w:tcPr>
          <w:p w14:paraId="771A8BD1" w14:textId="77777777" w:rsidR="000113BB" w:rsidRPr="000113BB" w:rsidRDefault="000113BB" w:rsidP="000113BB">
            <w:pPr>
              <w:spacing w:after="120"/>
              <w:jc w:val="center"/>
              <w:rPr>
                <w:rFonts w:ascii="Garamond" w:hAnsi="Garamond"/>
                <w:bCs/>
                <w:sz w:val="20"/>
                <w:szCs w:val="20"/>
                <w:lang w:val="en-CA"/>
              </w:rPr>
            </w:pPr>
          </w:p>
        </w:tc>
        <w:tc>
          <w:tcPr>
            <w:tcW w:w="1170" w:type="dxa"/>
            <w:tcBorders>
              <w:top w:val="single" w:sz="4" w:space="0" w:color="A6A6A6" w:themeColor="background1" w:themeShade="A6"/>
              <w:bottom w:val="single" w:sz="4" w:space="0" w:color="A6A6A6" w:themeColor="background1" w:themeShade="A6"/>
            </w:tcBorders>
            <w:hideMark/>
          </w:tcPr>
          <w:p w14:paraId="5072C79D" w14:textId="77777777" w:rsidR="000113BB" w:rsidRPr="000113BB" w:rsidRDefault="000113BB" w:rsidP="000113BB">
            <w:pPr>
              <w:spacing w:after="120"/>
              <w:jc w:val="center"/>
              <w:rPr>
                <w:rFonts w:ascii="Garamond" w:hAnsi="Garamond"/>
                <w:bCs/>
                <w:sz w:val="20"/>
                <w:szCs w:val="20"/>
                <w:lang w:val="en-CA"/>
              </w:rPr>
            </w:pPr>
            <w:r w:rsidRPr="000113BB">
              <w:rPr>
                <w:rFonts w:ascii="Segoe UI Symbol" w:hAnsi="Segoe UI Symbol" w:cs="Segoe UI Symbol"/>
                <w:bCs/>
                <w:sz w:val="20"/>
                <w:szCs w:val="20"/>
                <w:lang w:val="en-CA"/>
              </w:rPr>
              <w:t>✓</w:t>
            </w:r>
          </w:p>
        </w:tc>
        <w:tc>
          <w:tcPr>
            <w:tcW w:w="900" w:type="dxa"/>
            <w:tcBorders>
              <w:top w:val="single" w:sz="4" w:space="0" w:color="A6A6A6" w:themeColor="background1" w:themeShade="A6"/>
              <w:bottom w:val="single" w:sz="4" w:space="0" w:color="A6A6A6" w:themeColor="background1" w:themeShade="A6"/>
            </w:tcBorders>
            <w:hideMark/>
          </w:tcPr>
          <w:p w14:paraId="5E60A115" w14:textId="77777777" w:rsidR="000113BB" w:rsidRPr="000113BB" w:rsidRDefault="000113BB" w:rsidP="000113BB">
            <w:pPr>
              <w:spacing w:after="120"/>
              <w:jc w:val="center"/>
              <w:rPr>
                <w:rFonts w:ascii="Garamond" w:hAnsi="Garamond"/>
                <w:bCs/>
                <w:sz w:val="20"/>
                <w:szCs w:val="20"/>
                <w:lang w:val="en-CA"/>
              </w:rPr>
            </w:pPr>
          </w:p>
        </w:tc>
        <w:tc>
          <w:tcPr>
            <w:tcW w:w="990" w:type="dxa"/>
            <w:tcBorders>
              <w:top w:val="single" w:sz="4" w:space="0" w:color="A6A6A6" w:themeColor="background1" w:themeShade="A6"/>
              <w:bottom w:val="single" w:sz="4" w:space="0" w:color="A6A6A6" w:themeColor="background1" w:themeShade="A6"/>
            </w:tcBorders>
            <w:hideMark/>
          </w:tcPr>
          <w:p w14:paraId="3C1094AC" w14:textId="77777777" w:rsidR="000113BB" w:rsidRPr="000113BB" w:rsidRDefault="000113BB" w:rsidP="000113BB">
            <w:pPr>
              <w:spacing w:after="120"/>
              <w:jc w:val="center"/>
              <w:rPr>
                <w:rFonts w:ascii="Garamond" w:hAnsi="Garamond"/>
                <w:bCs/>
                <w:sz w:val="20"/>
                <w:szCs w:val="20"/>
                <w:lang w:val="en-CA"/>
              </w:rPr>
            </w:pPr>
            <w:r w:rsidRPr="000113BB">
              <w:rPr>
                <w:rFonts w:ascii="Segoe UI Symbol" w:hAnsi="Segoe UI Symbol" w:cs="Segoe UI Symbol"/>
                <w:bCs/>
                <w:sz w:val="20"/>
                <w:szCs w:val="20"/>
                <w:lang w:val="en-CA"/>
              </w:rPr>
              <w:t>✓</w:t>
            </w:r>
          </w:p>
        </w:tc>
        <w:tc>
          <w:tcPr>
            <w:tcW w:w="900" w:type="dxa"/>
            <w:tcBorders>
              <w:top w:val="single" w:sz="4" w:space="0" w:color="A6A6A6" w:themeColor="background1" w:themeShade="A6"/>
              <w:bottom w:val="single" w:sz="4" w:space="0" w:color="A6A6A6" w:themeColor="background1" w:themeShade="A6"/>
            </w:tcBorders>
            <w:hideMark/>
          </w:tcPr>
          <w:p w14:paraId="63244F7E" w14:textId="6453723F" w:rsidR="000113BB" w:rsidRPr="000113BB" w:rsidRDefault="00D14A41" w:rsidP="000113BB">
            <w:pPr>
              <w:spacing w:after="120"/>
              <w:jc w:val="center"/>
              <w:rPr>
                <w:rFonts w:ascii="Garamond" w:hAnsi="Garamond"/>
                <w:bCs/>
                <w:sz w:val="20"/>
                <w:szCs w:val="20"/>
                <w:lang w:val="en-CA"/>
              </w:rPr>
            </w:pPr>
            <w:r w:rsidRPr="000113BB">
              <w:rPr>
                <w:rFonts w:ascii="Segoe UI Symbol" w:hAnsi="Segoe UI Symbol" w:cs="Segoe UI Symbol"/>
                <w:bCs/>
                <w:sz w:val="20"/>
                <w:szCs w:val="20"/>
                <w:lang w:val="en-CA"/>
              </w:rPr>
              <w:t>✓</w:t>
            </w:r>
          </w:p>
        </w:tc>
        <w:tc>
          <w:tcPr>
            <w:tcW w:w="900" w:type="dxa"/>
            <w:tcBorders>
              <w:top w:val="single" w:sz="4" w:space="0" w:color="A6A6A6" w:themeColor="background1" w:themeShade="A6"/>
              <w:bottom w:val="single" w:sz="4" w:space="0" w:color="A6A6A6" w:themeColor="background1" w:themeShade="A6"/>
            </w:tcBorders>
            <w:hideMark/>
          </w:tcPr>
          <w:p w14:paraId="030A79C8" w14:textId="77777777" w:rsidR="000113BB" w:rsidRPr="000113BB" w:rsidRDefault="000113BB" w:rsidP="000113BB">
            <w:pPr>
              <w:spacing w:after="120"/>
              <w:jc w:val="center"/>
              <w:rPr>
                <w:rFonts w:ascii="Garamond" w:hAnsi="Garamond"/>
                <w:bCs/>
                <w:sz w:val="20"/>
                <w:szCs w:val="20"/>
                <w:lang w:val="en-CA"/>
              </w:rPr>
            </w:pPr>
          </w:p>
        </w:tc>
        <w:tc>
          <w:tcPr>
            <w:tcW w:w="990" w:type="dxa"/>
            <w:tcBorders>
              <w:top w:val="single" w:sz="4" w:space="0" w:color="A6A6A6" w:themeColor="background1" w:themeShade="A6"/>
              <w:bottom w:val="single" w:sz="4" w:space="0" w:color="A6A6A6" w:themeColor="background1" w:themeShade="A6"/>
            </w:tcBorders>
            <w:hideMark/>
          </w:tcPr>
          <w:p w14:paraId="43EE9B70" w14:textId="77777777" w:rsidR="000113BB" w:rsidRPr="000113BB" w:rsidRDefault="000113BB" w:rsidP="000113BB">
            <w:pPr>
              <w:spacing w:after="120"/>
              <w:jc w:val="center"/>
              <w:rPr>
                <w:rFonts w:ascii="Garamond" w:hAnsi="Garamond"/>
                <w:bCs/>
                <w:sz w:val="20"/>
                <w:szCs w:val="20"/>
                <w:lang w:val="en-CA"/>
              </w:rPr>
            </w:pPr>
          </w:p>
        </w:tc>
        <w:tc>
          <w:tcPr>
            <w:tcW w:w="1080" w:type="dxa"/>
            <w:tcBorders>
              <w:top w:val="single" w:sz="4" w:space="0" w:color="A6A6A6" w:themeColor="background1" w:themeShade="A6"/>
              <w:bottom w:val="single" w:sz="4" w:space="0" w:color="A6A6A6" w:themeColor="background1" w:themeShade="A6"/>
            </w:tcBorders>
            <w:hideMark/>
          </w:tcPr>
          <w:p w14:paraId="33CDF0DB" w14:textId="77777777" w:rsidR="000113BB" w:rsidRPr="000113BB" w:rsidRDefault="000113BB" w:rsidP="000113BB">
            <w:pPr>
              <w:spacing w:after="120"/>
              <w:jc w:val="center"/>
              <w:rPr>
                <w:rFonts w:ascii="Garamond" w:hAnsi="Garamond"/>
                <w:bCs/>
                <w:sz w:val="20"/>
                <w:szCs w:val="20"/>
                <w:lang w:val="en-CA"/>
              </w:rPr>
            </w:pPr>
          </w:p>
        </w:tc>
        <w:tc>
          <w:tcPr>
            <w:tcW w:w="990" w:type="dxa"/>
            <w:tcBorders>
              <w:top w:val="single" w:sz="4" w:space="0" w:color="A6A6A6" w:themeColor="background1" w:themeShade="A6"/>
              <w:bottom w:val="single" w:sz="4" w:space="0" w:color="A6A6A6" w:themeColor="background1" w:themeShade="A6"/>
            </w:tcBorders>
            <w:hideMark/>
          </w:tcPr>
          <w:p w14:paraId="7E9DD1E1" w14:textId="77777777" w:rsidR="000113BB" w:rsidRPr="000113BB" w:rsidRDefault="000113BB" w:rsidP="000113BB">
            <w:pPr>
              <w:spacing w:after="120"/>
              <w:jc w:val="center"/>
              <w:rPr>
                <w:rFonts w:ascii="Garamond" w:hAnsi="Garamond"/>
                <w:bCs/>
                <w:sz w:val="20"/>
                <w:szCs w:val="20"/>
                <w:lang w:val="en-CA"/>
              </w:rPr>
            </w:pPr>
          </w:p>
        </w:tc>
      </w:tr>
      <w:tr w:rsidR="006A137E" w:rsidRPr="000113BB" w14:paraId="16E957A7" w14:textId="77777777" w:rsidTr="003856DA">
        <w:trPr>
          <w:trHeight w:val="600"/>
        </w:trPr>
        <w:tc>
          <w:tcPr>
            <w:tcW w:w="2070" w:type="dxa"/>
            <w:tcBorders>
              <w:top w:val="single" w:sz="4" w:space="0" w:color="A6A6A6" w:themeColor="background1" w:themeShade="A6"/>
              <w:bottom w:val="single" w:sz="4" w:space="0" w:color="A6A6A6" w:themeColor="background1" w:themeShade="A6"/>
            </w:tcBorders>
          </w:tcPr>
          <w:p w14:paraId="5543CA1C" w14:textId="026B505E" w:rsidR="006A137E" w:rsidRPr="000113BB" w:rsidRDefault="006A137E" w:rsidP="000113BB">
            <w:pPr>
              <w:spacing w:after="120"/>
              <w:rPr>
                <w:rFonts w:ascii="Garamond" w:hAnsi="Garamond"/>
                <w:bCs/>
                <w:sz w:val="20"/>
                <w:szCs w:val="20"/>
                <w:lang w:val="en-CA"/>
              </w:rPr>
            </w:pPr>
            <w:r w:rsidRPr="006A137E">
              <w:rPr>
                <w:rFonts w:ascii="Garamond" w:hAnsi="Garamond"/>
                <w:bCs/>
                <w:sz w:val="20"/>
                <w:szCs w:val="20"/>
                <w:lang w:val="en-CA"/>
              </w:rPr>
              <w:lastRenderedPageBreak/>
              <w:t>Morris (2016)</w:t>
            </w:r>
          </w:p>
        </w:tc>
        <w:tc>
          <w:tcPr>
            <w:tcW w:w="1800" w:type="dxa"/>
            <w:tcBorders>
              <w:top w:val="single" w:sz="4" w:space="0" w:color="A6A6A6" w:themeColor="background1" w:themeShade="A6"/>
              <w:bottom w:val="single" w:sz="4" w:space="0" w:color="A6A6A6" w:themeColor="background1" w:themeShade="A6"/>
            </w:tcBorders>
          </w:tcPr>
          <w:p w14:paraId="24AD83F8" w14:textId="0346350C" w:rsidR="006A137E" w:rsidRPr="000113BB" w:rsidRDefault="006A137E" w:rsidP="000113BB">
            <w:pPr>
              <w:spacing w:after="120"/>
              <w:rPr>
                <w:rFonts w:ascii="Garamond" w:hAnsi="Garamond"/>
                <w:bCs/>
                <w:sz w:val="20"/>
                <w:szCs w:val="20"/>
                <w:lang w:val="en-CA"/>
              </w:rPr>
            </w:pPr>
            <w:r w:rsidRPr="006A137E">
              <w:rPr>
                <w:rFonts w:ascii="Garamond" w:hAnsi="Garamond"/>
                <w:bCs/>
                <w:sz w:val="20"/>
                <w:szCs w:val="20"/>
                <w:lang w:val="en-CA"/>
              </w:rPr>
              <w:t>General U.S. population</w:t>
            </w:r>
          </w:p>
        </w:tc>
        <w:tc>
          <w:tcPr>
            <w:tcW w:w="900" w:type="dxa"/>
            <w:tcBorders>
              <w:top w:val="single" w:sz="4" w:space="0" w:color="A6A6A6" w:themeColor="background1" w:themeShade="A6"/>
              <w:bottom w:val="single" w:sz="4" w:space="0" w:color="A6A6A6" w:themeColor="background1" w:themeShade="A6"/>
            </w:tcBorders>
          </w:tcPr>
          <w:p w14:paraId="2FAC74DF" w14:textId="1875E29A" w:rsidR="006A137E" w:rsidRPr="000113BB" w:rsidRDefault="006A137E" w:rsidP="000113BB">
            <w:pPr>
              <w:spacing w:after="120"/>
              <w:jc w:val="center"/>
              <w:rPr>
                <w:rFonts w:ascii="Garamond" w:hAnsi="Garamond"/>
                <w:bCs/>
                <w:sz w:val="20"/>
                <w:szCs w:val="20"/>
                <w:lang w:val="en-CA"/>
              </w:rPr>
            </w:pPr>
            <w:r w:rsidRPr="006A137E">
              <w:rPr>
                <w:rFonts w:ascii="Garamond" w:hAnsi="Garamond"/>
                <w:bCs/>
                <w:sz w:val="20"/>
                <w:szCs w:val="20"/>
                <w:lang w:val="en-CA"/>
              </w:rPr>
              <w:t>1283110</w:t>
            </w:r>
          </w:p>
        </w:tc>
        <w:tc>
          <w:tcPr>
            <w:tcW w:w="900" w:type="dxa"/>
            <w:tcBorders>
              <w:top w:val="single" w:sz="4" w:space="0" w:color="A6A6A6" w:themeColor="background1" w:themeShade="A6"/>
              <w:bottom w:val="single" w:sz="4" w:space="0" w:color="A6A6A6" w:themeColor="background1" w:themeShade="A6"/>
            </w:tcBorders>
          </w:tcPr>
          <w:p w14:paraId="060C5633" w14:textId="77777777" w:rsidR="006A137E" w:rsidRPr="000113BB" w:rsidRDefault="006A137E" w:rsidP="000113BB">
            <w:pPr>
              <w:spacing w:after="120"/>
              <w:jc w:val="center"/>
              <w:rPr>
                <w:rFonts w:ascii="Garamond" w:hAnsi="Garamond"/>
                <w:bCs/>
                <w:sz w:val="20"/>
                <w:szCs w:val="20"/>
                <w:lang w:val="en-CA"/>
              </w:rPr>
            </w:pPr>
          </w:p>
        </w:tc>
        <w:tc>
          <w:tcPr>
            <w:tcW w:w="1170" w:type="dxa"/>
            <w:tcBorders>
              <w:top w:val="single" w:sz="4" w:space="0" w:color="A6A6A6" w:themeColor="background1" w:themeShade="A6"/>
              <w:bottom w:val="single" w:sz="4" w:space="0" w:color="A6A6A6" w:themeColor="background1" w:themeShade="A6"/>
            </w:tcBorders>
          </w:tcPr>
          <w:p w14:paraId="22538512" w14:textId="10CCAA54" w:rsidR="006A137E" w:rsidRPr="000113BB" w:rsidRDefault="006A137E" w:rsidP="000113BB">
            <w:pPr>
              <w:spacing w:after="120"/>
              <w:jc w:val="center"/>
              <w:rPr>
                <w:rFonts w:ascii="Segoe UI Symbol" w:hAnsi="Segoe UI Symbol" w:cs="Segoe UI Symbol"/>
                <w:bCs/>
                <w:sz w:val="20"/>
                <w:szCs w:val="20"/>
                <w:lang w:val="en-CA"/>
              </w:rPr>
            </w:pPr>
            <w:r w:rsidRPr="000113BB">
              <w:rPr>
                <w:rFonts w:ascii="Segoe UI Symbol" w:hAnsi="Segoe UI Symbol" w:cs="Segoe UI Symbol"/>
                <w:bCs/>
                <w:sz w:val="20"/>
                <w:szCs w:val="20"/>
                <w:lang w:val="en-CA"/>
              </w:rPr>
              <w:t>✓</w:t>
            </w:r>
          </w:p>
        </w:tc>
        <w:tc>
          <w:tcPr>
            <w:tcW w:w="900" w:type="dxa"/>
            <w:tcBorders>
              <w:top w:val="single" w:sz="4" w:space="0" w:color="A6A6A6" w:themeColor="background1" w:themeShade="A6"/>
              <w:bottom w:val="single" w:sz="4" w:space="0" w:color="A6A6A6" w:themeColor="background1" w:themeShade="A6"/>
            </w:tcBorders>
          </w:tcPr>
          <w:p w14:paraId="7924D342" w14:textId="77777777" w:rsidR="006A137E" w:rsidRPr="000113BB" w:rsidRDefault="006A137E" w:rsidP="000113BB">
            <w:pPr>
              <w:spacing w:after="120"/>
              <w:jc w:val="center"/>
              <w:rPr>
                <w:rFonts w:ascii="Garamond" w:hAnsi="Garamond"/>
                <w:bCs/>
                <w:sz w:val="20"/>
                <w:szCs w:val="20"/>
                <w:lang w:val="en-CA"/>
              </w:rPr>
            </w:pPr>
          </w:p>
        </w:tc>
        <w:tc>
          <w:tcPr>
            <w:tcW w:w="990" w:type="dxa"/>
            <w:tcBorders>
              <w:top w:val="single" w:sz="4" w:space="0" w:color="A6A6A6" w:themeColor="background1" w:themeShade="A6"/>
              <w:bottom w:val="single" w:sz="4" w:space="0" w:color="A6A6A6" w:themeColor="background1" w:themeShade="A6"/>
            </w:tcBorders>
          </w:tcPr>
          <w:p w14:paraId="14C9955F" w14:textId="42DF13D6" w:rsidR="006A137E" w:rsidRPr="000113BB" w:rsidRDefault="006A137E" w:rsidP="000113BB">
            <w:pPr>
              <w:spacing w:after="120"/>
              <w:jc w:val="center"/>
              <w:rPr>
                <w:rFonts w:ascii="Segoe UI Symbol" w:hAnsi="Segoe UI Symbol" w:cs="Segoe UI Symbol"/>
                <w:bCs/>
                <w:sz w:val="20"/>
                <w:szCs w:val="20"/>
                <w:lang w:val="en-CA"/>
              </w:rPr>
            </w:pPr>
            <w:r w:rsidRPr="000113BB">
              <w:rPr>
                <w:rFonts w:ascii="Segoe UI Symbol" w:hAnsi="Segoe UI Symbol" w:cs="Segoe UI Symbol"/>
                <w:bCs/>
                <w:sz w:val="20"/>
                <w:szCs w:val="20"/>
                <w:lang w:val="en-CA"/>
              </w:rPr>
              <w:t>✓</w:t>
            </w:r>
          </w:p>
        </w:tc>
        <w:tc>
          <w:tcPr>
            <w:tcW w:w="900" w:type="dxa"/>
            <w:tcBorders>
              <w:top w:val="single" w:sz="4" w:space="0" w:color="A6A6A6" w:themeColor="background1" w:themeShade="A6"/>
              <w:bottom w:val="single" w:sz="4" w:space="0" w:color="A6A6A6" w:themeColor="background1" w:themeShade="A6"/>
            </w:tcBorders>
          </w:tcPr>
          <w:p w14:paraId="147423DF" w14:textId="3CF8D467" w:rsidR="006A137E" w:rsidRPr="000113BB" w:rsidRDefault="006A137E" w:rsidP="000113BB">
            <w:pPr>
              <w:spacing w:after="120"/>
              <w:jc w:val="center"/>
              <w:rPr>
                <w:rFonts w:ascii="Segoe UI Symbol" w:hAnsi="Segoe UI Symbol" w:cs="Segoe UI Symbol"/>
                <w:bCs/>
                <w:sz w:val="20"/>
                <w:szCs w:val="20"/>
                <w:lang w:val="en-CA"/>
              </w:rPr>
            </w:pPr>
            <w:r w:rsidRPr="000113BB">
              <w:rPr>
                <w:rFonts w:ascii="Segoe UI Symbol" w:hAnsi="Segoe UI Symbol" w:cs="Segoe UI Symbol"/>
                <w:bCs/>
                <w:sz w:val="20"/>
                <w:szCs w:val="20"/>
                <w:lang w:val="en-CA"/>
              </w:rPr>
              <w:t>✓</w:t>
            </w:r>
          </w:p>
        </w:tc>
        <w:tc>
          <w:tcPr>
            <w:tcW w:w="900" w:type="dxa"/>
            <w:tcBorders>
              <w:top w:val="single" w:sz="4" w:space="0" w:color="A6A6A6" w:themeColor="background1" w:themeShade="A6"/>
              <w:bottom w:val="single" w:sz="4" w:space="0" w:color="A6A6A6" w:themeColor="background1" w:themeShade="A6"/>
            </w:tcBorders>
          </w:tcPr>
          <w:p w14:paraId="4690EAFE" w14:textId="77777777" w:rsidR="006A137E" w:rsidRPr="000113BB" w:rsidRDefault="006A137E" w:rsidP="000113BB">
            <w:pPr>
              <w:spacing w:after="120"/>
              <w:jc w:val="center"/>
              <w:rPr>
                <w:rFonts w:ascii="Garamond" w:hAnsi="Garamond"/>
                <w:bCs/>
                <w:sz w:val="20"/>
                <w:szCs w:val="20"/>
                <w:lang w:val="en-CA"/>
              </w:rPr>
            </w:pPr>
          </w:p>
        </w:tc>
        <w:tc>
          <w:tcPr>
            <w:tcW w:w="990" w:type="dxa"/>
            <w:tcBorders>
              <w:top w:val="single" w:sz="4" w:space="0" w:color="A6A6A6" w:themeColor="background1" w:themeShade="A6"/>
              <w:bottom w:val="single" w:sz="4" w:space="0" w:color="A6A6A6" w:themeColor="background1" w:themeShade="A6"/>
            </w:tcBorders>
          </w:tcPr>
          <w:p w14:paraId="4093E8F7" w14:textId="77777777" w:rsidR="006A137E" w:rsidRPr="000113BB" w:rsidRDefault="006A137E" w:rsidP="000113BB">
            <w:pPr>
              <w:spacing w:after="120"/>
              <w:jc w:val="center"/>
              <w:rPr>
                <w:rFonts w:ascii="Garamond" w:hAnsi="Garamond"/>
                <w:bCs/>
                <w:sz w:val="20"/>
                <w:szCs w:val="20"/>
                <w:lang w:val="en-CA"/>
              </w:rPr>
            </w:pPr>
          </w:p>
        </w:tc>
        <w:tc>
          <w:tcPr>
            <w:tcW w:w="1080" w:type="dxa"/>
            <w:tcBorders>
              <w:top w:val="single" w:sz="4" w:space="0" w:color="A6A6A6" w:themeColor="background1" w:themeShade="A6"/>
              <w:bottom w:val="single" w:sz="4" w:space="0" w:color="A6A6A6" w:themeColor="background1" w:themeShade="A6"/>
            </w:tcBorders>
          </w:tcPr>
          <w:p w14:paraId="055D2BA5" w14:textId="77777777" w:rsidR="006A137E" w:rsidRPr="000113BB" w:rsidRDefault="006A137E" w:rsidP="000113BB">
            <w:pPr>
              <w:spacing w:after="120"/>
              <w:jc w:val="center"/>
              <w:rPr>
                <w:rFonts w:ascii="Garamond" w:hAnsi="Garamond"/>
                <w:bCs/>
                <w:sz w:val="20"/>
                <w:szCs w:val="20"/>
                <w:lang w:val="en-CA"/>
              </w:rPr>
            </w:pPr>
          </w:p>
        </w:tc>
        <w:tc>
          <w:tcPr>
            <w:tcW w:w="990" w:type="dxa"/>
            <w:tcBorders>
              <w:top w:val="single" w:sz="4" w:space="0" w:color="A6A6A6" w:themeColor="background1" w:themeShade="A6"/>
              <w:bottom w:val="single" w:sz="4" w:space="0" w:color="A6A6A6" w:themeColor="background1" w:themeShade="A6"/>
            </w:tcBorders>
          </w:tcPr>
          <w:p w14:paraId="625FF93C" w14:textId="59472EEF" w:rsidR="006A137E" w:rsidRPr="000113BB" w:rsidRDefault="007C45B3" w:rsidP="000113BB">
            <w:pPr>
              <w:spacing w:after="120"/>
              <w:jc w:val="center"/>
              <w:rPr>
                <w:rFonts w:ascii="Garamond" w:hAnsi="Garamond"/>
                <w:bCs/>
                <w:sz w:val="20"/>
                <w:szCs w:val="20"/>
                <w:lang w:val="en-CA"/>
              </w:rPr>
            </w:pPr>
            <w:r w:rsidRPr="000113BB">
              <w:rPr>
                <w:rFonts w:ascii="Segoe UI Symbol" w:hAnsi="Segoe UI Symbol" w:cs="Segoe UI Symbol"/>
                <w:bCs/>
                <w:sz w:val="20"/>
                <w:szCs w:val="20"/>
                <w:lang w:val="en-CA"/>
              </w:rPr>
              <w:t>✓</w:t>
            </w:r>
          </w:p>
        </w:tc>
      </w:tr>
      <w:tr w:rsidR="000113BB" w:rsidRPr="000113BB" w14:paraId="540B0FFF" w14:textId="77777777" w:rsidTr="003856DA">
        <w:trPr>
          <w:trHeight w:val="300"/>
        </w:trPr>
        <w:tc>
          <w:tcPr>
            <w:tcW w:w="2070" w:type="dxa"/>
            <w:tcBorders>
              <w:top w:val="single" w:sz="4" w:space="0" w:color="A6A6A6" w:themeColor="background1" w:themeShade="A6"/>
              <w:bottom w:val="single" w:sz="4" w:space="0" w:color="A6A6A6" w:themeColor="background1" w:themeShade="A6"/>
            </w:tcBorders>
            <w:hideMark/>
          </w:tcPr>
          <w:p w14:paraId="44EB95EC" w14:textId="77777777" w:rsidR="000113BB" w:rsidRPr="000113BB" w:rsidRDefault="000113BB" w:rsidP="000113BB">
            <w:pPr>
              <w:spacing w:after="120"/>
              <w:rPr>
                <w:rFonts w:ascii="Garamond" w:hAnsi="Garamond"/>
                <w:bCs/>
                <w:sz w:val="20"/>
                <w:szCs w:val="20"/>
                <w:lang w:val="en-CA"/>
              </w:rPr>
            </w:pPr>
            <w:proofErr w:type="spellStart"/>
            <w:r w:rsidRPr="000113BB">
              <w:rPr>
                <w:rFonts w:ascii="Garamond" w:hAnsi="Garamond"/>
                <w:bCs/>
                <w:sz w:val="20"/>
                <w:szCs w:val="20"/>
                <w:lang w:val="en-CA"/>
              </w:rPr>
              <w:t>Pa</w:t>
            </w:r>
            <w:r w:rsidRPr="000113BB">
              <w:rPr>
                <w:rFonts w:ascii="Times New Roman" w:hAnsi="Times New Roman" w:cs="Times New Roman"/>
                <w:bCs/>
                <w:sz w:val="20"/>
                <w:szCs w:val="20"/>
                <w:lang w:val="en-CA"/>
              </w:rPr>
              <w:t>̈</w:t>
            </w:r>
            <w:r w:rsidRPr="000113BB">
              <w:rPr>
                <w:rFonts w:ascii="Garamond" w:hAnsi="Garamond"/>
                <w:bCs/>
                <w:sz w:val="20"/>
                <w:szCs w:val="20"/>
                <w:lang w:val="en-CA"/>
              </w:rPr>
              <w:t>ssler</w:t>
            </w:r>
            <w:proofErr w:type="spellEnd"/>
            <w:r w:rsidRPr="000113BB">
              <w:rPr>
                <w:rFonts w:ascii="Garamond" w:hAnsi="Garamond"/>
                <w:bCs/>
                <w:sz w:val="20"/>
                <w:szCs w:val="20"/>
                <w:lang w:val="en-CA"/>
              </w:rPr>
              <w:t xml:space="preserve"> et al. (2014)</w:t>
            </w:r>
          </w:p>
        </w:tc>
        <w:tc>
          <w:tcPr>
            <w:tcW w:w="1800" w:type="dxa"/>
            <w:tcBorders>
              <w:top w:val="single" w:sz="4" w:space="0" w:color="A6A6A6" w:themeColor="background1" w:themeShade="A6"/>
              <w:bottom w:val="single" w:sz="4" w:space="0" w:color="A6A6A6" w:themeColor="background1" w:themeShade="A6"/>
            </w:tcBorders>
            <w:hideMark/>
          </w:tcPr>
          <w:p w14:paraId="1CE34AB7" w14:textId="77777777" w:rsidR="000113BB" w:rsidRPr="000113BB" w:rsidRDefault="000113BB" w:rsidP="000113BB">
            <w:pPr>
              <w:spacing w:after="120"/>
              <w:rPr>
                <w:rFonts w:ascii="Garamond" w:hAnsi="Garamond"/>
                <w:bCs/>
                <w:sz w:val="20"/>
                <w:szCs w:val="20"/>
                <w:lang w:val="en-CA"/>
              </w:rPr>
            </w:pPr>
            <w:r w:rsidRPr="000113BB">
              <w:rPr>
                <w:rFonts w:ascii="Garamond" w:hAnsi="Garamond"/>
                <w:bCs/>
                <w:sz w:val="20"/>
                <w:szCs w:val="20"/>
                <w:lang w:val="en-CA"/>
              </w:rPr>
              <w:t>German students</w:t>
            </w:r>
          </w:p>
        </w:tc>
        <w:tc>
          <w:tcPr>
            <w:tcW w:w="900" w:type="dxa"/>
            <w:tcBorders>
              <w:top w:val="single" w:sz="4" w:space="0" w:color="A6A6A6" w:themeColor="background1" w:themeShade="A6"/>
              <w:bottom w:val="single" w:sz="4" w:space="0" w:color="A6A6A6" w:themeColor="background1" w:themeShade="A6"/>
            </w:tcBorders>
            <w:hideMark/>
          </w:tcPr>
          <w:p w14:paraId="56B60900" w14:textId="77777777" w:rsidR="000113BB" w:rsidRPr="000113BB" w:rsidRDefault="000113BB" w:rsidP="000113BB">
            <w:pPr>
              <w:spacing w:after="120"/>
              <w:jc w:val="center"/>
              <w:rPr>
                <w:rFonts w:ascii="Garamond" w:hAnsi="Garamond"/>
                <w:bCs/>
                <w:sz w:val="20"/>
                <w:szCs w:val="20"/>
                <w:lang w:val="en-CA"/>
              </w:rPr>
            </w:pPr>
            <w:r w:rsidRPr="000113BB">
              <w:rPr>
                <w:rFonts w:ascii="Garamond" w:hAnsi="Garamond"/>
                <w:bCs/>
                <w:sz w:val="20"/>
                <w:szCs w:val="20"/>
                <w:lang w:val="en-CA"/>
              </w:rPr>
              <w:t>736</w:t>
            </w:r>
          </w:p>
        </w:tc>
        <w:tc>
          <w:tcPr>
            <w:tcW w:w="900" w:type="dxa"/>
            <w:tcBorders>
              <w:top w:val="single" w:sz="4" w:space="0" w:color="A6A6A6" w:themeColor="background1" w:themeShade="A6"/>
              <w:bottom w:val="single" w:sz="4" w:space="0" w:color="A6A6A6" w:themeColor="background1" w:themeShade="A6"/>
            </w:tcBorders>
            <w:hideMark/>
          </w:tcPr>
          <w:p w14:paraId="20841985" w14:textId="77777777" w:rsidR="000113BB" w:rsidRPr="000113BB" w:rsidRDefault="000113BB" w:rsidP="000113BB">
            <w:pPr>
              <w:spacing w:after="120"/>
              <w:jc w:val="center"/>
              <w:rPr>
                <w:rFonts w:ascii="Garamond" w:hAnsi="Garamond"/>
                <w:bCs/>
                <w:sz w:val="20"/>
                <w:szCs w:val="20"/>
                <w:lang w:val="en-CA"/>
              </w:rPr>
            </w:pPr>
            <w:r w:rsidRPr="000113BB">
              <w:rPr>
                <w:rFonts w:ascii="Segoe UI Symbol" w:hAnsi="Segoe UI Symbol" w:cs="Segoe UI Symbol"/>
                <w:bCs/>
                <w:sz w:val="20"/>
                <w:szCs w:val="20"/>
                <w:lang w:val="en-CA"/>
              </w:rPr>
              <w:t>✓</w:t>
            </w:r>
          </w:p>
        </w:tc>
        <w:tc>
          <w:tcPr>
            <w:tcW w:w="1170" w:type="dxa"/>
            <w:tcBorders>
              <w:top w:val="single" w:sz="4" w:space="0" w:color="A6A6A6" w:themeColor="background1" w:themeShade="A6"/>
              <w:bottom w:val="single" w:sz="4" w:space="0" w:color="A6A6A6" w:themeColor="background1" w:themeShade="A6"/>
            </w:tcBorders>
            <w:hideMark/>
          </w:tcPr>
          <w:p w14:paraId="06D3D8F7" w14:textId="77777777" w:rsidR="000113BB" w:rsidRPr="000113BB" w:rsidRDefault="000113BB" w:rsidP="000113BB">
            <w:pPr>
              <w:spacing w:after="120"/>
              <w:jc w:val="center"/>
              <w:rPr>
                <w:rFonts w:ascii="Garamond" w:hAnsi="Garamond"/>
                <w:bCs/>
                <w:sz w:val="20"/>
                <w:szCs w:val="20"/>
                <w:lang w:val="en-CA"/>
              </w:rPr>
            </w:pPr>
            <w:r w:rsidRPr="000113BB">
              <w:rPr>
                <w:rFonts w:ascii="Segoe UI Symbol" w:hAnsi="Segoe UI Symbol" w:cs="Segoe UI Symbol"/>
                <w:bCs/>
                <w:sz w:val="20"/>
                <w:szCs w:val="20"/>
                <w:lang w:val="en-CA"/>
              </w:rPr>
              <w:t>✓</w:t>
            </w:r>
          </w:p>
        </w:tc>
        <w:tc>
          <w:tcPr>
            <w:tcW w:w="900" w:type="dxa"/>
            <w:tcBorders>
              <w:top w:val="single" w:sz="4" w:space="0" w:color="A6A6A6" w:themeColor="background1" w:themeShade="A6"/>
              <w:bottom w:val="single" w:sz="4" w:space="0" w:color="A6A6A6" w:themeColor="background1" w:themeShade="A6"/>
            </w:tcBorders>
            <w:hideMark/>
          </w:tcPr>
          <w:p w14:paraId="08372073" w14:textId="77777777" w:rsidR="000113BB" w:rsidRPr="000113BB" w:rsidRDefault="000113BB" w:rsidP="000113BB">
            <w:pPr>
              <w:spacing w:after="120"/>
              <w:jc w:val="center"/>
              <w:rPr>
                <w:rFonts w:ascii="Garamond" w:hAnsi="Garamond"/>
                <w:bCs/>
                <w:sz w:val="20"/>
                <w:szCs w:val="20"/>
                <w:lang w:val="en-CA"/>
              </w:rPr>
            </w:pPr>
          </w:p>
        </w:tc>
        <w:tc>
          <w:tcPr>
            <w:tcW w:w="990" w:type="dxa"/>
            <w:tcBorders>
              <w:top w:val="single" w:sz="4" w:space="0" w:color="A6A6A6" w:themeColor="background1" w:themeShade="A6"/>
              <w:bottom w:val="single" w:sz="4" w:space="0" w:color="A6A6A6" w:themeColor="background1" w:themeShade="A6"/>
            </w:tcBorders>
            <w:hideMark/>
          </w:tcPr>
          <w:p w14:paraId="45E48F67" w14:textId="77777777" w:rsidR="000113BB" w:rsidRPr="000113BB" w:rsidRDefault="000113BB" w:rsidP="000113BB">
            <w:pPr>
              <w:spacing w:after="120"/>
              <w:jc w:val="center"/>
              <w:rPr>
                <w:rFonts w:ascii="Garamond" w:hAnsi="Garamond"/>
                <w:bCs/>
                <w:sz w:val="20"/>
                <w:szCs w:val="20"/>
                <w:lang w:val="en-CA"/>
              </w:rPr>
            </w:pPr>
          </w:p>
        </w:tc>
        <w:tc>
          <w:tcPr>
            <w:tcW w:w="900" w:type="dxa"/>
            <w:tcBorders>
              <w:top w:val="single" w:sz="4" w:space="0" w:color="A6A6A6" w:themeColor="background1" w:themeShade="A6"/>
              <w:bottom w:val="single" w:sz="4" w:space="0" w:color="A6A6A6" w:themeColor="background1" w:themeShade="A6"/>
            </w:tcBorders>
            <w:hideMark/>
          </w:tcPr>
          <w:p w14:paraId="6C5E4206" w14:textId="77777777" w:rsidR="000113BB" w:rsidRPr="000113BB" w:rsidRDefault="000113BB" w:rsidP="000113BB">
            <w:pPr>
              <w:spacing w:after="120"/>
              <w:jc w:val="center"/>
              <w:rPr>
                <w:rFonts w:ascii="Garamond" w:hAnsi="Garamond"/>
                <w:bCs/>
                <w:sz w:val="20"/>
                <w:szCs w:val="20"/>
                <w:lang w:val="en-CA"/>
              </w:rPr>
            </w:pPr>
            <w:r w:rsidRPr="000113BB">
              <w:rPr>
                <w:rFonts w:ascii="Segoe UI Symbol" w:hAnsi="Segoe UI Symbol" w:cs="Segoe UI Symbol"/>
                <w:bCs/>
                <w:sz w:val="20"/>
                <w:szCs w:val="20"/>
                <w:lang w:val="en-CA"/>
              </w:rPr>
              <w:t>✓</w:t>
            </w:r>
          </w:p>
        </w:tc>
        <w:tc>
          <w:tcPr>
            <w:tcW w:w="900" w:type="dxa"/>
            <w:tcBorders>
              <w:top w:val="single" w:sz="4" w:space="0" w:color="A6A6A6" w:themeColor="background1" w:themeShade="A6"/>
              <w:bottom w:val="single" w:sz="4" w:space="0" w:color="A6A6A6" w:themeColor="background1" w:themeShade="A6"/>
            </w:tcBorders>
            <w:hideMark/>
          </w:tcPr>
          <w:p w14:paraId="7717D7B0" w14:textId="77777777" w:rsidR="000113BB" w:rsidRPr="000113BB" w:rsidRDefault="000113BB" w:rsidP="000113BB">
            <w:pPr>
              <w:spacing w:after="120"/>
              <w:jc w:val="center"/>
              <w:rPr>
                <w:rFonts w:ascii="Garamond" w:hAnsi="Garamond"/>
                <w:bCs/>
                <w:sz w:val="20"/>
                <w:szCs w:val="20"/>
                <w:lang w:val="en-CA"/>
              </w:rPr>
            </w:pPr>
          </w:p>
        </w:tc>
        <w:tc>
          <w:tcPr>
            <w:tcW w:w="990" w:type="dxa"/>
            <w:tcBorders>
              <w:top w:val="single" w:sz="4" w:space="0" w:color="A6A6A6" w:themeColor="background1" w:themeShade="A6"/>
              <w:bottom w:val="single" w:sz="4" w:space="0" w:color="A6A6A6" w:themeColor="background1" w:themeShade="A6"/>
            </w:tcBorders>
            <w:hideMark/>
          </w:tcPr>
          <w:p w14:paraId="68BA7059" w14:textId="77777777" w:rsidR="000113BB" w:rsidRPr="000113BB" w:rsidRDefault="000113BB" w:rsidP="000113BB">
            <w:pPr>
              <w:spacing w:after="120"/>
              <w:jc w:val="center"/>
              <w:rPr>
                <w:rFonts w:ascii="Garamond" w:hAnsi="Garamond"/>
                <w:bCs/>
                <w:sz w:val="20"/>
                <w:szCs w:val="20"/>
                <w:lang w:val="en-CA"/>
              </w:rPr>
            </w:pPr>
            <w:r w:rsidRPr="000113BB">
              <w:rPr>
                <w:rFonts w:ascii="Segoe UI Symbol" w:hAnsi="Segoe UI Symbol" w:cs="Segoe UI Symbol"/>
                <w:bCs/>
                <w:sz w:val="20"/>
                <w:szCs w:val="20"/>
                <w:lang w:val="en-CA"/>
              </w:rPr>
              <w:t>✓</w:t>
            </w:r>
          </w:p>
        </w:tc>
        <w:tc>
          <w:tcPr>
            <w:tcW w:w="1080" w:type="dxa"/>
            <w:tcBorders>
              <w:top w:val="single" w:sz="4" w:space="0" w:color="A6A6A6" w:themeColor="background1" w:themeShade="A6"/>
              <w:bottom w:val="single" w:sz="4" w:space="0" w:color="A6A6A6" w:themeColor="background1" w:themeShade="A6"/>
            </w:tcBorders>
            <w:hideMark/>
          </w:tcPr>
          <w:p w14:paraId="5374F872" w14:textId="77777777" w:rsidR="000113BB" w:rsidRPr="000113BB" w:rsidRDefault="000113BB" w:rsidP="000113BB">
            <w:pPr>
              <w:spacing w:after="120"/>
              <w:jc w:val="center"/>
              <w:rPr>
                <w:rFonts w:ascii="Garamond" w:hAnsi="Garamond"/>
                <w:bCs/>
                <w:sz w:val="20"/>
                <w:szCs w:val="20"/>
                <w:lang w:val="en-CA"/>
              </w:rPr>
            </w:pPr>
          </w:p>
        </w:tc>
        <w:tc>
          <w:tcPr>
            <w:tcW w:w="990" w:type="dxa"/>
            <w:tcBorders>
              <w:top w:val="single" w:sz="4" w:space="0" w:color="A6A6A6" w:themeColor="background1" w:themeShade="A6"/>
              <w:bottom w:val="single" w:sz="4" w:space="0" w:color="A6A6A6" w:themeColor="background1" w:themeShade="A6"/>
            </w:tcBorders>
            <w:hideMark/>
          </w:tcPr>
          <w:p w14:paraId="496C1FC1" w14:textId="77777777" w:rsidR="000113BB" w:rsidRPr="000113BB" w:rsidRDefault="000113BB" w:rsidP="000113BB">
            <w:pPr>
              <w:spacing w:after="120"/>
              <w:jc w:val="center"/>
              <w:rPr>
                <w:rFonts w:ascii="Garamond" w:hAnsi="Garamond"/>
                <w:bCs/>
                <w:sz w:val="20"/>
                <w:szCs w:val="20"/>
                <w:lang w:val="en-CA"/>
              </w:rPr>
            </w:pPr>
          </w:p>
        </w:tc>
      </w:tr>
      <w:tr w:rsidR="000113BB" w:rsidRPr="000113BB" w14:paraId="34280A51" w14:textId="77777777" w:rsidTr="003856DA">
        <w:trPr>
          <w:trHeight w:val="600"/>
        </w:trPr>
        <w:tc>
          <w:tcPr>
            <w:tcW w:w="2070" w:type="dxa"/>
            <w:tcBorders>
              <w:top w:val="single" w:sz="4" w:space="0" w:color="A6A6A6" w:themeColor="background1" w:themeShade="A6"/>
              <w:bottom w:val="single" w:sz="4" w:space="0" w:color="A6A6A6" w:themeColor="background1" w:themeShade="A6"/>
            </w:tcBorders>
            <w:hideMark/>
          </w:tcPr>
          <w:p w14:paraId="47717E28" w14:textId="77777777" w:rsidR="000113BB" w:rsidRPr="000113BB" w:rsidRDefault="000113BB" w:rsidP="000113BB">
            <w:pPr>
              <w:spacing w:after="120"/>
              <w:rPr>
                <w:rFonts w:ascii="Garamond" w:hAnsi="Garamond"/>
                <w:bCs/>
                <w:sz w:val="20"/>
                <w:szCs w:val="20"/>
                <w:lang w:val="en-CA"/>
              </w:rPr>
            </w:pPr>
            <w:r w:rsidRPr="000113BB">
              <w:rPr>
                <w:rFonts w:ascii="Garamond" w:hAnsi="Garamond"/>
                <w:bCs/>
                <w:sz w:val="20"/>
                <w:szCs w:val="20"/>
                <w:lang w:val="en-CA"/>
              </w:rPr>
              <w:t>Pirutinsky (2013)</w:t>
            </w:r>
          </w:p>
        </w:tc>
        <w:tc>
          <w:tcPr>
            <w:tcW w:w="1800" w:type="dxa"/>
            <w:tcBorders>
              <w:top w:val="single" w:sz="4" w:space="0" w:color="A6A6A6" w:themeColor="background1" w:themeShade="A6"/>
              <w:bottom w:val="single" w:sz="4" w:space="0" w:color="A6A6A6" w:themeColor="background1" w:themeShade="A6"/>
            </w:tcBorders>
            <w:hideMark/>
          </w:tcPr>
          <w:p w14:paraId="68019A2C" w14:textId="77777777" w:rsidR="000113BB" w:rsidRPr="000113BB" w:rsidRDefault="000113BB" w:rsidP="000113BB">
            <w:pPr>
              <w:spacing w:after="120"/>
              <w:rPr>
                <w:rFonts w:ascii="Garamond" w:hAnsi="Garamond"/>
                <w:bCs/>
                <w:sz w:val="20"/>
                <w:szCs w:val="20"/>
                <w:lang w:val="en-CA"/>
              </w:rPr>
            </w:pPr>
            <w:r w:rsidRPr="000113BB">
              <w:rPr>
                <w:rFonts w:ascii="Garamond" w:hAnsi="Garamond"/>
                <w:bCs/>
                <w:sz w:val="20"/>
                <w:szCs w:val="20"/>
                <w:lang w:val="en-CA"/>
              </w:rPr>
              <w:t>Ultraorthodox Jewish men</w:t>
            </w:r>
          </w:p>
        </w:tc>
        <w:tc>
          <w:tcPr>
            <w:tcW w:w="900" w:type="dxa"/>
            <w:tcBorders>
              <w:top w:val="single" w:sz="4" w:space="0" w:color="A6A6A6" w:themeColor="background1" w:themeShade="A6"/>
              <w:bottom w:val="single" w:sz="4" w:space="0" w:color="A6A6A6" w:themeColor="background1" w:themeShade="A6"/>
            </w:tcBorders>
            <w:hideMark/>
          </w:tcPr>
          <w:p w14:paraId="20847B6E" w14:textId="77777777" w:rsidR="000113BB" w:rsidRPr="000113BB" w:rsidRDefault="000113BB" w:rsidP="000113BB">
            <w:pPr>
              <w:spacing w:after="120"/>
              <w:jc w:val="center"/>
              <w:rPr>
                <w:rFonts w:ascii="Garamond" w:hAnsi="Garamond"/>
                <w:bCs/>
                <w:sz w:val="20"/>
                <w:szCs w:val="20"/>
                <w:lang w:val="en-CA"/>
              </w:rPr>
            </w:pPr>
            <w:r w:rsidRPr="000113BB">
              <w:rPr>
                <w:rFonts w:ascii="Garamond" w:hAnsi="Garamond"/>
                <w:bCs/>
                <w:sz w:val="20"/>
                <w:szCs w:val="20"/>
                <w:lang w:val="en-CA"/>
              </w:rPr>
              <w:t>192</w:t>
            </w:r>
          </w:p>
        </w:tc>
        <w:tc>
          <w:tcPr>
            <w:tcW w:w="900" w:type="dxa"/>
            <w:tcBorders>
              <w:top w:val="single" w:sz="4" w:space="0" w:color="A6A6A6" w:themeColor="background1" w:themeShade="A6"/>
              <w:bottom w:val="single" w:sz="4" w:space="0" w:color="A6A6A6" w:themeColor="background1" w:themeShade="A6"/>
            </w:tcBorders>
            <w:hideMark/>
          </w:tcPr>
          <w:p w14:paraId="157FDE97" w14:textId="77777777" w:rsidR="000113BB" w:rsidRPr="000113BB" w:rsidRDefault="000113BB" w:rsidP="000113BB">
            <w:pPr>
              <w:spacing w:after="120"/>
              <w:jc w:val="center"/>
              <w:rPr>
                <w:rFonts w:ascii="Garamond" w:hAnsi="Garamond"/>
                <w:bCs/>
                <w:sz w:val="20"/>
                <w:szCs w:val="20"/>
                <w:lang w:val="en-CA"/>
              </w:rPr>
            </w:pPr>
          </w:p>
        </w:tc>
        <w:tc>
          <w:tcPr>
            <w:tcW w:w="1170" w:type="dxa"/>
            <w:tcBorders>
              <w:top w:val="single" w:sz="4" w:space="0" w:color="A6A6A6" w:themeColor="background1" w:themeShade="A6"/>
              <w:bottom w:val="single" w:sz="4" w:space="0" w:color="A6A6A6" w:themeColor="background1" w:themeShade="A6"/>
            </w:tcBorders>
            <w:hideMark/>
          </w:tcPr>
          <w:p w14:paraId="658B0019" w14:textId="77777777" w:rsidR="000113BB" w:rsidRPr="000113BB" w:rsidRDefault="000113BB" w:rsidP="000113BB">
            <w:pPr>
              <w:spacing w:after="120"/>
              <w:jc w:val="center"/>
              <w:rPr>
                <w:rFonts w:ascii="Garamond" w:hAnsi="Garamond"/>
                <w:bCs/>
                <w:sz w:val="20"/>
                <w:szCs w:val="20"/>
                <w:lang w:val="en-CA"/>
              </w:rPr>
            </w:pPr>
            <w:r w:rsidRPr="000113BB">
              <w:rPr>
                <w:rFonts w:ascii="Segoe UI Symbol" w:hAnsi="Segoe UI Symbol" w:cs="Segoe UI Symbol"/>
                <w:bCs/>
                <w:sz w:val="20"/>
                <w:szCs w:val="20"/>
                <w:lang w:val="en-CA"/>
              </w:rPr>
              <w:t>✓</w:t>
            </w:r>
          </w:p>
        </w:tc>
        <w:tc>
          <w:tcPr>
            <w:tcW w:w="900" w:type="dxa"/>
            <w:tcBorders>
              <w:top w:val="single" w:sz="4" w:space="0" w:color="A6A6A6" w:themeColor="background1" w:themeShade="A6"/>
              <w:bottom w:val="single" w:sz="4" w:space="0" w:color="A6A6A6" w:themeColor="background1" w:themeShade="A6"/>
            </w:tcBorders>
            <w:hideMark/>
          </w:tcPr>
          <w:p w14:paraId="208FB698" w14:textId="77777777" w:rsidR="000113BB" w:rsidRPr="000113BB" w:rsidRDefault="000113BB" w:rsidP="000113BB">
            <w:pPr>
              <w:spacing w:after="120"/>
              <w:jc w:val="center"/>
              <w:rPr>
                <w:rFonts w:ascii="Garamond" w:hAnsi="Garamond"/>
                <w:bCs/>
                <w:sz w:val="20"/>
                <w:szCs w:val="20"/>
                <w:lang w:val="en-CA"/>
              </w:rPr>
            </w:pPr>
          </w:p>
        </w:tc>
        <w:tc>
          <w:tcPr>
            <w:tcW w:w="990" w:type="dxa"/>
            <w:tcBorders>
              <w:top w:val="single" w:sz="4" w:space="0" w:color="A6A6A6" w:themeColor="background1" w:themeShade="A6"/>
              <w:bottom w:val="single" w:sz="4" w:space="0" w:color="A6A6A6" w:themeColor="background1" w:themeShade="A6"/>
            </w:tcBorders>
            <w:hideMark/>
          </w:tcPr>
          <w:p w14:paraId="445CB431" w14:textId="77777777" w:rsidR="000113BB" w:rsidRPr="000113BB" w:rsidRDefault="000113BB" w:rsidP="000113BB">
            <w:pPr>
              <w:spacing w:after="120"/>
              <w:jc w:val="center"/>
              <w:rPr>
                <w:rFonts w:ascii="Garamond" w:hAnsi="Garamond"/>
                <w:bCs/>
                <w:sz w:val="20"/>
                <w:szCs w:val="20"/>
                <w:lang w:val="en-CA"/>
              </w:rPr>
            </w:pPr>
          </w:p>
        </w:tc>
        <w:tc>
          <w:tcPr>
            <w:tcW w:w="900" w:type="dxa"/>
            <w:tcBorders>
              <w:top w:val="single" w:sz="4" w:space="0" w:color="A6A6A6" w:themeColor="background1" w:themeShade="A6"/>
              <w:bottom w:val="single" w:sz="4" w:space="0" w:color="A6A6A6" w:themeColor="background1" w:themeShade="A6"/>
            </w:tcBorders>
            <w:hideMark/>
          </w:tcPr>
          <w:p w14:paraId="3379A6E0" w14:textId="77777777" w:rsidR="000113BB" w:rsidRPr="000113BB" w:rsidRDefault="000113BB" w:rsidP="000113BB">
            <w:pPr>
              <w:spacing w:after="120"/>
              <w:jc w:val="center"/>
              <w:rPr>
                <w:rFonts w:ascii="Garamond" w:hAnsi="Garamond"/>
                <w:bCs/>
                <w:sz w:val="20"/>
                <w:szCs w:val="20"/>
                <w:lang w:val="en-CA"/>
              </w:rPr>
            </w:pPr>
            <w:r w:rsidRPr="000113BB">
              <w:rPr>
                <w:rFonts w:ascii="Segoe UI Symbol" w:hAnsi="Segoe UI Symbol" w:cs="Segoe UI Symbol"/>
                <w:bCs/>
                <w:sz w:val="20"/>
                <w:szCs w:val="20"/>
                <w:lang w:val="en-CA"/>
              </w:rPr>
              <w:t>✓</w:t>
            </w:r>
          </w:p>
        </w:tc>
        <w:tc>
          <w:tcPr>
            <w:tcW w:w="900" w:type="dxa"/>
            <w:tcBorders>
              <w:top w:val="single" w:sz="4" w:space="0" w:color="A6A6A6" w:themeColor="background1" w:themeShade="A6"/>
              <w:bottom w:val="single" w:sz="4" w:space="0" w:color="A6A6A6" w:themeColor="background1" w:themeShade="A6"/>
            </w:tcBorders>
            <w:hideMark/>
          </w:tcPr>
          <w:p w14:paraId="5D03A881" w14:textId="77777777" w:rsidR="000113BB" w:rsidRPr="000113BB" w:rsidRDefault="000113BB" w:rsidP="000113BB">
            <w:pPr>
              <w:spacing w:after="120"/>
              <w:jc w:val="center"/>
              <w:rPr>
                <w:rFonts w:ascii="Garamond" w:hAnsi="Garamond"/>
                <w:bCs/>
                <w:sz w:val="20"/>
                <w:szCs w:val="20"/>
                <w:lang w:val="en-CA"/>
              </w:rPr>
            </w:pPr>
            <w:r w:rsidRPr="000113BB">
              <w:rPr>
                <w:rFonts w:ascii="Segoe UI Symbol" w:hAnsi="Segoe UI Symbol" w:cs="Segoe UI Symbol"/>
                <w:bCs/>
                <w:sz w:val="20"/>
                <w:szCs w:val="20"/>
                <w:lang w:val="en-CA"/>
              </w:rPr>
              <w:t>✓</w:t>
            </w:r>
          </w:p>
        </w:tc>
        <w:tc>
          <w:tcPr>
            <w:tcW w:w="990" w:type="dxa"/>
            <w:tcBorders>
              <w:top w:val="single" w:sz="4" w:space="0" w:color="A6A6A6" w:themeColor="background1" w:themeShade="A6"/>
              <w:bottom w:val="single" w:sz="4" w:space="0" w:color="A6A6A6" w:themeColor="background1" w:themeShade="A6"/>
            </w:tcBorders>
            <w:hideMark/>
          </w:tcPr>
          <w:p w14:paraId="7064417D" w14:textId="77777777" w:rsidR="000113BB" w:rsidRPr="000113BB" w:rsidRDefault="000113BB" w:rsidP="000113BB">
            <w:pPr>
              <w:spacing w:after="120"/>
              <w:jc w:val="center"/>
              <w:rPr>
                <w:rFonts w:ascii="Garamond" w:hAnsi="Garamond"/>
                <w:bCs/>
                <w:sz w:val="20"/>
                <w:szCs w:val="20"/>
                <w:lang w:val="en-CA"/>
              </w:rPr>
            </w:pPr>
          </w:p>
        </w:tc>
        <w:tc>
          <w:tcPr>
            <w:tcW w:w="1080" w:type="dxa"/>
            <w:tcBorders>
              <w:top w:val="single" w:sz="4" w:space="0" w:color="A6A6A6" w:themeColor="background1" w:themeShade="A6"/>
              <w:bottom w:val="single" w:sz="4" w:space="0" w:color="A6A6A6" w:themeColor="background1" w:themeShade="A6"/>
            </w:tcBorders>
            <w:hideMark/>
          </w:tcPr>
          <w:p w14:paraId="51315670" w14:textId="77777777" w:rsidR="000113BB" w:rsidRPr="000113BB" w:rsidRDefault="000113BB" w:rsidP="000113BB">
            <w:pPr>
              <w:spacing w:after="120"/>
              <w:jc w:val="center"/>
              <w:rPr>
                <w:rFonts w:ascii="Garamond" w:hAnsi="Garamond"/>
                <w:bCs/>
                <w:sz w:val="20"/>
                <w:szCs w:val="20"/>
                <w:lang w:val="en-CA"/>
              </w:rPr>
            </w:pPr>
          </w:p>
        </w:tc>
        <w:tc>
          <w:tcPr>
            <w:tcW w:w="990" w:type="dxa"/>
            <w:tcBorders>
              <w:top w:val="single" w:sz="4" w:space="0" w:color="A6A6A6" w:themeColor="background1" w:themeShade="A6"/>
              <w:bottom w:val="single" w:sz="4" w:space="0" w:color="A6A6A6" w:themeColor="background1" w:themeShade="A6"/>
            </w:tcBorders>
            <w:hideMark/>
          </w:tcPr>
          <w:p w14:paraId="6CCDF474" w14:textId="77777777" w:rsidR="000113BB" w:rsidRPr="000113BB" w:rsidRDefault="000113BB" w:rsidP="000113BB">
            <w:pPr>
              <w:spacing w:after="120"/>
              <w:jc w:val="center"/>
              <w:rPr>
                <w:rFonts w:ascii="Garamond" w:hAnsi="Garamond"/>
                <w:bCs/>
                <w:sz w:val="20"/>
                <w:szCs w:val="20"/>
                <w:lang w:val="en-CA"/>
              </w:rPr>
            </w:pPr>
          </w:p>
        </w:tc>
      </w:tr>
      <w:tr w:rsidR="000113BB" w:rsidRPr="000113BB" w14:paraId="28B01E0F" w14:textId="77777777" w:rsidTr="003856DA">
        <w:trPr>
          <w:trHeight w:val="300"/>
        </w:trPr>
        <w:tc>
          <w:tcPr>
            <w:tcW w:w="2070" w:type="dxa"/>
            <w:tcBorders>
              <w:top w:val="single" w:sz="4" w:space="0" w:color="A6A6A6" w:themeColor="background1" w:themeShade="A6"/>
              <w:bottom w:val="single" w:sz="4" w:space="0" w:color="A6A6A6" w:themeColor="background1" w:themeShade="A6"/>
            </w:tcBorders>
            <w:hideMark/>
          </w:tcPr>
          <w:p w14:paraId="7F2088C8" w14:textId="77777777" w:rsidR="000113BB" w:rsidRPr="000113BB" w:rsidRDefault="000113BB" w:rsidP="000113BB">
            <w:pPr>
              <w:spacing w:after="120"/>
              <w:rPr>
                <w:rFonts w:ascii="Garamond" w:hAnsi="Garamond"/>
                <w:bCs/>
                <w:sz w:val="20"/>
                <w:szCs w:val="20"/>
                <w:lang w:val="en-CA"/>
              </w:rPr>
            </w:pPr>
            <w:r w:rsidRPr="000113BB">
              <w:rPr>
                <w:rFonts w:ascii="Garamond" w:hAnsi="Garamond"/>
                <w:bCs/>
                <w:sz w:val="20"/>
                <w:szCs w:val="20"/>
                <w:lang w:val="en-CA"/>
              </w:rPr>
              <w:t>Ralston et al. (2004)</w:t>
            </w:r>
          </w:p>
        </w:tc>
        <w:tc>
          <w:tcPr>
            <w:tcW w:w="1800" w:type="dxa"/>
            <w:tcBorders>
              <w:top w:val="single" w:sz="4" w:space="0" w:color="A6A6A6" w:themeColor="background1" w:themeShade="A6"/>
              <w:bottom w:val="single" w:sz="4" w:space="0" w:color="A6A6A6" w:themeColor="background1" w:themeShade="A6"/>
            </w:tcBorders>
            <w:hideMark/>
          </w:tcPr>
          <w:p w14:paraId="1E2C6C2D" w14:textId="77777777" w:rsidR="000113BB" w:rsidRPr="000113BB" w:rsidRDefault="000113BB" w:rsidP="000113BB">
            <w:pPr>
              <w:spacing w:after="120"/>
              <w:rPr>
                <w:rFonts w:ascii="Garamond" w:hAnsi="Garamond"/>
                <w:bCs/>
                <w:sz w:val="20"/>
                <w:szCs w:val="20"/>
                <w:lang w:val="en-CA"/>
              </w:rPr>
            </w:pPr>
            <w:r w:rsidRPr="000113BB">
              <w:rPr>
                <w:rFonts w:ascii="Garamond" w:hAnsi="Garamond"/>
                <w:bCs/>
                <w:sz w:val="20"/>
                <w:szCs w:val="20"/>
                <w:lang w:val="en-CA"/>
              </w:rPr>
              <w:t>Employed adults</w:t>
            </w:r>
          </w:p>
        </w:tc>
        <w:tc>
          <w:tcPr>
            <w:tcW w:w="900" w:type="dxa"/>
            <w:tcBorders>
              <w:top w:val="single" w:sz="4" w:space="0" w:color="A6A6A6" w:themeColor="background1" w:themeShade="A6"/>
              <w:bottom w:val="single" w:sz="4" w:space="0" w:color="A6A6A6" w:themeColor="background1" w:themeShade="A6"/>
            </w:tcBorders>
            <w:hideMark/>
          </w:tcPr>
          <w:p w14:paraId="293EB611" w14:textId="77777777" w:rsidR="000113BB" w:rsidRPr="000113BB" w:rsidRDefault="000113BB" w:rsidP="000113BB">
            <w:pPr>
              <w:spacing w:after="120"/>
              <w:jc w:val="center"/>
              <w:rPr>
                <w:rFonts w:ascii="Garamond" w:hAnsi="Garamond"/>
                <w:bCs/>
                <w:sz w:val="20"/>
                <w:szCs w:val="20"/>
                <w:lang w:val="en-CA"/>
              </w:rPr>
            </w:pPr>
            <w:r w:rsidRPr="000113BB">
              <w:rPr>
                <w:rFonts w:ascii="Garamond" w:hAnsi="Garamond"/>
                <w:bCs/>
                <w:sz w:val="20"/>
                <w:szCs w:val="20"/>
                <w:lang w:val="en-CA"/>
              </w:rPr>
              <w:t>17074</w:t>
            </w:r>
          </w:p>
        </w:tc>
        <w:tc>
          <w:tcPr>
            <w:tcW w:w="900" w:type="dxa"/>
            <w:tcBorders>
              <w:top w:val="single" w:sz="4" w:space="0" w:color="A6A6A6" w:themeColor="background1" w:themeShade="A6"/>
              <w:bottom w:val="single" w:sz="4" w:space="0" w:color="A6A6A6" w:themeColor="background1" w:themeShade="A6"/>
            </w:tcBorders>
            <w:hideMark/>
          </w:tcPr>
          <w:p w14:paraId="65DB7B19" w14:textId="77777777" w:rsidR="000113BB" w:rsidRPr="000113BB" w:rsidRDefault="000113BB" w:rsidP="000113BB">
            <w:pPr>
              <w:spacing w:after="120"/>
              <w:jc w:val="center"/>
              <w:rPr>
                <w:rFonts w:ascii="Garamond" w:hAnsi="Garamond"/>
                <w:bCs/>
                <w:sz w:val="20"/>
                <w:szCs w:val="20"/>
                <w:lang w:val="en-CA"/>
              </w:rPr>
            </w:pPr>
          </w:p>
        </w:tc>
        <w:tc>
          <w:tcPr>
            <w:tcW w:w="1170" w:type="dxa"/>
            <w:tcBorders>
              <w:top w:val="single" w:sz="4" w:space="0" w:color="A6A6A6" w:themeColor="background1" w:themeShade="A6"/>
              <w:bottom w:val="single" w:sz="4" w:space="0" w:color="A6A6A6" w:themeColor="background1" w:themeShade="A6"/>
            </w:tcBorders>
            <w:hideMark/>
          </w:tcPr>
          <w:p w14:paraId="300E4E84" w14:textId="77777777" w:rsidR="000113BB" w:rsidRPr="000113BB" w:rsidRDefault="000113BB" w:rsidP="000113BB">
            <w:pPr>
              <w:spacing w:after="120"/>
              <w:jc w:val="center"/>
              <w:rPr>
                <w:rFonts w:ascii="Garamond" w:hAnsi="Garamond"/>
                <w:bCs/>
                <w:sz w:val="20"/>
                <w:szCs w:val="20"/>
                <w:lang w:val="en-CA"/>
              </w:rPr>
            </w:pPr>
            <w:r w:rsidRPr="000113BB">
              <w:rPr>
                <w:rFonts w:ascii="Segoe UI Symbol" w:hAnsi="Segoe UI Symbol" w:cs="Segoe UI Symbol"/>
                <w:bCs/>
                <w:sz w:val="20"/>
                <w:szCs w:val="20"/>
                <w:lang w:val="en-CA"/>
              </w:rPr>
              <w:t>✓</w:t>
            </w:r>
          </w:p>
        </w:tc>
        <w:tc>
          <w:tcPr>
            <w:tcW w:w="900" w:type="dxa"/>
            <w:tcBorders>
              <w:top w:val="single" w:sz="4" w:space="0" w:color="A6A6A6" w:themeColor="background1" w:themeShade="A6"/>
              <w:bottom w:val="single" w:sz="4" w:space="0" w:color="A6A6A6" w:themeColor="background1" w:themeShade="A6"/>
            </w:tcBorders>
            <w:hideMark/>
          </w:tcPr>
          <w:p w14:paraId="2FE6EF07" w14:textId="77777777" w:rsidR="000113BB" w:rsidRPr="000113BB" w:rsidRDefault="000113BB" w:rsidP="000113BB">
            <w:pPr>
              <w:spacing w:after="120"/>
              <w:jc w:val="center"/>
              <w:rPr>
                <w:rFonts w:ascii="Garamond" w:hAnsi="Garamond"/>
                <w:bCs/>
                <w:sz w:val="20"/>
                <w:szCs w:val="20"/>
                <w:lang w:val="en-CA"/>
              </w:rPr>
            </w:pPr>
          </w:p>
        </w:tc>
        <w:tc>
          <w:tcPr>
            <w:tcW w:w="990" w:type="dxa"/>
            <w:tcBorders>
              <w:top w:val="single" w:sz="4" w:space="0" w:color="A6A6A6" w:themeColor="background1" w:themeShade="A6"/>
              <w:bottom w:val="single" w:sz="4" w:space="0" w:color="A6A6A6" w:themeColor="background1" w:themeShade="A6"/>
            </w:tcBorders>
            <w:hideMark/>
          </w:tcPr>
          <w:p w14:paraId="496CA78C" w14:textId="77777777" w:rsidR="000113BB" w:rsidRPr="000113BB" w:rsidRDefault="000113BB" w:rsidP="000113BB">
            <w:pPr>
              <w:spacing w:after="120"/>
              <w:jc w:val="center"/>
              <w:rPr>
                <w:rFonts w:ascii="Garamond" w:hAnsi="Garamond"/>
                <w:bCs/>
                <w:sz w:val="20"/>
                <w:szCs w:val="20"/>
                <w:lang w:val="en-CA"/>
              </w:rPr>
            </w:pPr>
          </w:p>
        </w:tc>
        <w:tc>
          <w:tcPr>
            <w:tcW w:w="900" w:type="dxa"/>
            <w:tcBorders>
              <w:top w:val="single" w:sz="4" w:space="0" w:color="A6A6A6" w:themeColor="background1" w:themeShade="A6"/>
              <w:bottom w:val="single" w:sz="4" w:space="0" w:color="A6A6A6" w:themeColor="background1" w:themeShade="A6"/>
            </w:tcBorders>
            <w:hideMark/>
          </w:tcPr>
          <w:p w14:paraId="6864950D" w14:textId="77777777" w:rsidR="000113BB" w:rsidRPr="000113BB" w:rsidRDefault="000113BB" w:rsidP="000113BB">
            <w:pPr>
              <w:spacing w:after="120"/>
              <w:jc w:val="center"/>
              <w:rPr>
                <w:rFonts w:ascii="Garamond" w:hAnsi="Garamond"/>
                <w:bCs/>
                <w:sz w:val="20"/>
                <w:szCs w:val="20"/>
                <w:lang w:val="en-CA"/>
              </w:rPr>
            </w:pPr>
            <w:r w:rsidRPr="000113BB">
              <w:rPr>
                <w:rFonts w:ascii="Segoe UI Symbol" w:hAnsi="Segoe UI Symbol" w:cs="Segoe UI Symbol"/>
                <w:bCs/>
                <w:sz w:val="20"/>
                <w:szCs w:val="20"/>
                <w:lang w:val="en-CA"/>
              </w:rPr>
              <w:t>✓</w:t>
            </w:r>
          </w:p>
        </w:tc>
        <w:tc>
          <w:tcPr>
            <w:tcW w:w="900" w:type="dxa"/>
            <w:tcBorders>
              <w:top w:val="single" w:sz="4" w:space="0" w:color="A6A6A6" w:themeColor="background1" w:themeShade="A6"/>
              <w:bottom w:val="single" w:sz="4" w:space="0" w:color="A6A6A6" w:themeColor="background1" w:themeShade="A6"/>
            </w:tcBorders>
            <w:hideMark/>
          </w:tcPr>
          <w:p w14:paraId="75B702D7" w14:textId="77777777" w:rsidR="000113BB" w:rsidRPr="000113BB" w:rsidRDefault="000113BB" w:rsidP="000113BB">
            <w:pPr>
              <w:spacing w:after="120"/>
              <w:jc w:val="center"/>
              <w:rPr>
                <w:rFonts w:ascii="Garamond" w:hAnsi="Garamond"/>
                <w:bCs/>
                <w:sz w:val="20"/>
                <w:szCs w:val="20"/>
                <w:lang w:val="en-CA"/>
              </w:rPr>
            </w:pPr>
            <w:r w:rsidRPr="000113BB">
              <w:rPr>
                <w:rFonts w:ascii="Segoe UI Symbol" w:hAnsi="Segoe UI Symbol" w:cs="Segoe UI Symbol"/>
                <w:bCs/>
                <w:sz w:val="20"/>
                <w:szCs w:val="20"/>
                <w:lang w:val="en-CA"/>
              </w:rPr>
              <w:t>✓</w:t>
            </w:r>
          </w:p>
        </w:tc>
        <w:tc>
          <w:tcPr>
            <w:tcW w:w="990" w:type="dxa"/>
            <w:tcBorders>
              <w:top w:val="single" w:sz="4" w:space="0" w:color="A6A6A6" w:themeColor="background1" w:themeShade="A6"/>
              <w:bottom w:val="single" w:sz="4" w:space="0" w:color="A6A6A6" w:themeColor="background1" w:themeShade="A6"/>
            </w:tcBorders>
            <w:hideMark/>
          </w:tcPr>
          <w:p w14:paraId="08F4DA42" w14:textId="77777777" w:rsidR="000113BB" w:rsidRPr="000113BB" w:rsidRDefault="000113BB" w:rsidP="000113BB">
            <w:pPr>
              <w:spacing w:after="120"/>
              <w:jc w:val="center"/>
              <w:rPr>
                <w:rFonts w:ascii="Garamond" w:hAnsi="Garamond"/>
                <w:bCs/>
                <w:sz w:val="20"/>
                <w:szCs w:val="20"/>
                <w:lang w:val="en-CA"/>
              </w:rPr>
            </w:pPr>
            <w:r w:rsidRPr="000113BB">
              <w:rPr>
                <w:rFonts w:ascii="Segoe UI Symbol" w:hAnsi="Segoe UI Symbol" w:cs="Segoe UI Symbol"/>
                <w:bCs/>
                <w:sz w:val="20"/>
                <w:szCs w:val="20"/>
                <w:lang w:val="en-CA"/>
              </w:rPr>
              <w:t>✓</w:t>
            </w:r>
          </w:p>
        </w:tc>
        <w:tc>
          <w:tcPr>
            <w:tcW w:w="1080" w:type="dxa"/>
            <w:tcBorders>
              <w:top w:val="single" w:sz="4" w:space="0" w:color="A6A6A6" w:themeColor="background1" w:themeShade="A6"/>
              <w:bottom w:val="single" w:sz="4" w:space="0" w:color="A6A6A6" w:themeColor="background1" w:themeShade="A6"/>
            </w:tcBorders>
            <w:hideMark/>
          </w:tcPr>
          <w:p w14:paraId="3465DBE3" w14:textId="77777777" w:rsidR="000113BB" w:rsidRPr="000113BB" w:rsidRDefault="000113BB" w:rsidP="000113BB">
            <w:pPr>
              <w:spacing w:after="120"/>
              <w:jc w:val="center"/>
              <w:rPr>
                <w:rFonts w:ascii="Garamond" w:hAnsi="Garamond"/>
                <w:bCs/>
                <w:sz w:val="20"/>
                <w:szCs w:val="20"/>
                <w:lang w:val="en-CA"/>
              </w:rPr>
            </w:pPr>
          </w:p>
        </w:tc>
        <w:tc>
          <w:tcPr>
            <w:tcW w:w="990" w:type="dxa"/>
            <w:tcBorders>
              <w:top w:val="single" w:sz="4" w:space="0" w:color="A6A6A6" w:themeColor="background1" w:themeShade="A6"/>
              <w:bottom w:val="single" w:sz="4" w:space="0" w:color="A6A6A6" w:themeColor="background1" w:themeShade="A6"/>
            </w:tcBorders>
            <w:hideMark/>
          </w:tcPr>
          <w:p w14:paraId="42B15900" w14:textId="77777777" w:rsidR="000113BB" w:rsidRPr="000113BB" w:rsidRDefault="000113BB" w:rsidP="000113BB">
            <w:pPr>
              <w:spacing w:after="120"/>
              <w:jc w:val="center"/>
              <w:rPr>
                <w:rFonts w:ascii="Garamond" w:hAnsi="Garamond"/>
                <w:bCs/>
                <w:sz w:val="20"/>
                <w:szCs w:val="20"/>
                <w:lang w:val="en-CA"/>
              </w:rPr>
            </w:pPr>
          </w:p>
        </w:tc>
      </w:tr>
      <w:tr w:rsidR="000113BB" w:rsidRPr="000113BB" w14:paraId="20E778EB" w14:textId="77777777" w:rsidTr="003856DA">
        <w:trPr>
          <w:trHeight w:val="300"/>
        </w:trPr>
        <w:tc>
          <w:tcPr>
            <w:tcW w:w="2070" w:type="dxa"/>
            <w:tcBorders>
              <w:top w:val="single" w:sz="4" w:space="0" w:color="A6A6A6" w:themeColor="background1" w:themeShade="A6"/>
              <w:bottom w:val="single" w:sz="4" w:space="0" w:color="A6A6A6" w:themeColor="background1" w:themeShade="A6"/>
            </w:tcBorders>
            <w:hideMark/>
          </w:tcPr>
          <w:p w14:paraId="077DDCC0" w14:textId="77777777" w:rsidR="000113BB" w:rsidRPr="000113BB" w:rsidRDefault="000113BB" w:rsidP="000113BB">
            <w:pPr>
              <w:spacing w:after="120"/>
              <w:rPr>
                <w:rFonts w:ascii="Garamond" w:hAnsi="Garamond"/>
                <w:bCs/>
                <w:sz w:val="20"/>
                <w:szCs w:val="20"/>
                <w:lang w:val="en-CA"/>
              </w:rPr>
            </w:pPr>
            <w:r w:rsidRPr="000113BB">
              <w:rPr>
                <w:rFonts w:ascii="Garamond" w:hAnsi="Garamond"/>
                <w:bCs/>
                <w:sz w:val="20"/>
                <w:szCs w:val="20"/>
                <w:lang w:val="en-CA"/>
              </w:rPr>
              <w:t>Tak (2004)</w:t>
            </w:r>
          </w:p>
        </w:tc>
        <w:tc>
          <w:tcPr>
            <w:tcW w:w="1800" w:type="dxa"/>
            <w:tcBorders>
              <w:top w:val="single" w:sz="4" w:space="0" w:color="A6A6A6" w:themeColor="background1" w:themeShade="A6"/>
              <w:bottom w:val="single" w:sz="4" w:space="0" w:color="A6A6A6" w:themeColor="background1" w:themeShade="A6"/>
            </w:tcBorders>
            <w:hideMark/>
          </w:tcPr>
          <w:p w14:paraId="028A672E" w14:textId="77777777" w:rsidR="000113BB" w:rsidRPr="000113BB" w:rsidRDefault="000113BB" w:rsidP="000113BB">
            <w:pPr>
              <w:spacing w:after="120"/>
              <w:rPr>
                <w:rFonts w:ascii="Garamond" w:hAnsi="Garamond"/>
                <w:bCs/>
                <w:sz w:val="20"/>
                <w:szCs w:val="20"/>
                <w:lang w:val="en-CA"/>
              </w:rPr>
            </w:pPr>
            <w:r w:rsidRPr="000113BB">
              <w:rPr>
                <w:rFonts w:ascii="Garamond" w:hAnsi="Garamond"/>
                <w:bCs/>
                <w:sz w:val="20"/>
                <w:szCs w:val="20"/>
                <w:lang w:val="en-CA"/>
              </w:rPr>
              <w:t>Korean students</w:t>
            </w:r>
          </w:p>
        </w:tc>
        <w:tc>
          <w:tcPr>
            <w:tcW w:w="900" w:type="dxa"/>
            <w:tcBorders>
              <w:top w:val="single" w:sz="4" w:space="0" w:color="A6A6A6" w:themeColor="background1" w:themeShade="A6"/>
              <w:bottom w:val="single" w:sz="4" w:space="0" w:color="A6A6A6" w:themeColor="background1" w:themeShade="A6"/>
            </w:tcBorders>
            <w:hideMark/>
          </w:tcPr>
          <w:p w14:paraId="12A4F062" w14:textId="77777777" w:rsidR="000113BB" w:rsidRPr="000113BB" w:rsidRDefault="000113BB" w:rsidP="000113BB">
            <w:pPr>
              <w:spacing w:after="120"/>
              <w:jc w:val="center"/>
              <w:rPr>
                <w:rFonts w:ascii="Garamond" w:hAnsi="Garamond"/>
                <w:bCs/>
                <w:sz w:val="20"/>
                <w:szCs w:val="20"/>
                <w:lang w:val="en-CA"/>
              </w:rPr>
            </w:pPr>
            <w:r w:rsidRPr="000113BB">
              <w:rPr>
                <w:rFonts w:ascii="Garamond" w:hAnsi="Garamond"/>
                <w:bCs/>
                <w:sz w:val="20"/>
                <w:szCs w:val="20"/>
                <w:lang w:val="en-CA"/>
              </w:rPr>
              <w:t>829</w:t>
            </w:r>
          </w:p>
        </w:tc>
        <w:tc>
          <w:tcPr>
            <w:tcW w:w="900" w:type="dxa"/>
            <w:tcBorders>
              <w:top w:val="single" w:sz="4" w:space="0" w:color="A6A6A6" w:themeColor="background1" w:themeShade="A6"/>
              <w:bottom w:val="single" w:sz="4" w:space="0" w:color="A6A6A6" w:themeColor="background1" w:themeShade="A6"/>
            </w:tcBorders>
            <w:hideMark/>
          </w:tcPr>
          <w:p w14:paraId="5CA69A92" w14:textId="77777777" w:rsidR="000113BB" w:rsidRPr="000113BB" w:rsidRDefault="000113BB" w:rsidP="000113BB">
            <w:pPr>
              <w:spacing w:after="120"/>
              <w:jc w:val="center"/>
              <w:rPr>
                <w:rFonts w:ascii="Garamond" w:hAnsi="Garamond"/>
                <w:bCs/>
                <w:sz w:val="20"/>
                <w:szCs w:val="20"/>
                <w:lang w:val="en-CA"/>
              </w:rPr>
            </w:pPr>
          </w:p>
        </w:tc>
        <w:tc>
          <w:tcPr>
            <w:tcW w:w="1170" w:type="dxa"/>
            <w:tcBorders>
              <w:top w:val="single" w:sz="4" w:space="0" w:color="A6A6A6" w:themeColor="background1" w:themeShade="A6"/>
              <w:bottom w:val="single" w:sz="4" w:space="0" w:color="A6A6A6" w:themeColor="background1" w:themeShade="A6"/>
            </w:tcBorders>
            <w:hideMark/>
          </w:tcPr>
          <w:p w14:paraId="7E84C201" w14:textId="77777777" w:rsidR="000113BB" w:rsidRPr="000113BB" w:rsidRDefault="000113BB" w:rsidP="000113BB">
            <w:pPr>
              <w:spacing w:after="120"/>
              <w:jc w:val="center"/>
              <w:rPr>
                <w:rFonts w:ascii="Garamond" w:hAnsi="Garamond"/>
                <w:bCs/>
                <w:sz w:val="20"/>
                <w:szCs w:val="20"/>
                <w:lang w:val="en-CA"/>
              </w:rPr>
            </w:pPr>
            <w:r w:rsidRPr="000113BB">
              <w:rPr>
                <w:rFonts w:ascii="Segoe UI Symbol" w:hAnsi="Segoe UI Symbol" w:cs="Segoe UI Symbol"/>
                <w:bCs/>
                <w:sz w:val="20"/>
                <w:szCs w:val="20"/>
                <w:lang w:val="en-CA"/>
              </w:rPr>
              <w:t>✓</w:t>
            </w:r>
          </w:p>
        </w:tc>
        <w:tc>
          <w:tcPr>
            <w:tcW w:w="900" w:type="dxa"/>
            <w:tcBorders>
              <w:top w:val="single" w:sz="4" w:space="0" w:color="A6A6A6" w:themeColor="background1" w:themeShade="A6"/>
              <w:bottom w:val="single" w:sz="4" w:space="0" w:color="A6A6A6" w:themeColor="background1" w:themeShade="A6"/>
            </w:tcBorders>
            <w:hideMark/>
          </w:tcPr>
          <w:p w14:paraId="4613A0F1" w14:textId="77777777" w:rsidR="000113BB" w:rsidRPr="000113BB" w:rsidRDefault="000113BB" w:rsidP="000113BB">
            <w:pPr>
              <w:spacing w:after="120"/>
              <w:jc w:val="center"/>
              <w:rPr>
                <w:rFonts w:ascii="Garamond" w:hAnsi="Garamond"/>
                <w:bCs/>
                <w:sz w:val="20"/>
                <w:szCs w:val="20"/>
                <w:lang w:val="en-CA"/>
              </w:rPr>
            </w:pPr>
          </w:p>
        </w:tc>
        <w:tc>
          <w:tcPr>
            <w:tcW w:w="990" w:type="dxa"/>
            <w:tcBorders>
              <w:top w:val="single" w:sz="4" w:space="0" w:color="A6A6A6" w:themeColor="background1" w:themeShade="A6"/>
              <w:bottom w:val="single" w:sz="4" w:space="0" w:color="A6A6A6" w:themeColor="background1" w:themeShade="A6"/>
            </w:tcBorders>
            <w:hideMark/>
          </w:tcPr>
          <w:p w14:paraId="7A120BB3" w14:textId="77777777" w:rsidR="000113BB" w:rsidRPr="000113BB" w:rsidRDefault="000113BB" w:rsidP="000113BB">
            <w:pPr>
              <w:spacing w:after="120"/>
              <w:jc w:val="center"/>
              <w:rPr>
                <w:rFonts w:ascii="Garamond" w:hAnsi="Garamond"/>
                <w:bCs/>
                <w:sz w:val="20"/>
                <w:szCs w:val="20"/>
                <w:lang w:val="en-CA"/>
              </w:rPr>
            </w:pPr>
          </w:p>
        </w:tc>
        <w:tc>
          <w:tcPr>
            <w:tcW w:w="900" w:type="dxa"/>
            <w:tcBorders>
              <w:top w:val="single" w:sz="4" w:space="0" w:color="A6A6A6" w:themeColor="background1" w:themeShade="A6"/>
              <w:bottom w:val="single" w:sz="4" w:space="0" w:color="A6A6A6" w:themeColor="background1" w:themeShade="A6"/>
            </w:tcBorders>
            <w:hideMark/>
          </w:tcPr>
          <w:p w14:paraId="2157BD2D" w14:textId="77777777" w:rsidR="000113BB" w:rsidRPr="000113BB" w:rsidRDefault="000113BB" w:rsidP="000113BB">
            <w:pPr>
              <w:spacing w:after="120"/>
              <w:jc w:val="center"/>
              <w:rPr>
                <w:rFonts w:ascii="Garamond" w:hAnsi="Garamond"/>
                <w:bCs/>
                <w:sz w:val="20"/>
                <w:szCs w:val="20"/>
                <w:lang w:val="en-CA"/>
              </w:rPr>
            </w:pPr>
            <w:r w:rsidRPr="000113BB">
              <w:rPr>
                <w:rFonts w:ascii="Segoe UI Symbol" w:hAnsi="Segoe UI Symbol" w:cs="Segoe UI Symbol"/>
                <w:bCs/>
                <w:sz w:val="20"/>
                <w:szCs w:val="20"/>
                <w:lang w:val="en-CA"/>
              </w:rPr>
              <w:t>✓</w:t>
            </w:r>
          </w:p>
        </w:tc>
        <w:tc>
          <w:tcPr>
            <w:tcW w:w="900" w:type="dxa"/>
            <w:tcBorders>
              <w:top w:val="single" w:sz="4" w:space="0" w:color="A6A6A6" w:themeColor="background1" w:themeShade="A6"/>
              <w:bottom w:val="single" w:sz="4" w:space="0" w:color="A6A6A6" w:themeColor="background1" w:themeShade="A6"/>
            </w:tcBorders>
            <w:hideMark/>
          </w:tcPr>
          <w:p w14:paraId="3E013772" w14:textId="77777777" w:rsidR="000113BB" w:rsidRPr="000113BB" w:rsidRDefault="000113BB" w:rsidP="000113BB">
            <w:pPr>
              <w:spacing w:after="120"/>
              <w:jc w:val="center"/>
              <w:rPr>
                <w:rFonts w:ascii="Garamond" w:hAnsi="Garamond"/>
                <w:bCs/>
                <w:sz w:val="20"/>
                <w:szCs w:val="20"/>
                <w:lang w:val="en-CA"/>
              </w:rPr>
            </w:pPr>
          </w:p>
        </w:tc>
        <w:tc>
          <w:tcPr>
            <w:tcW w:w="990" w:type="dxa"/>
            <w:tcBorders>
              <w:top w:val="single" w:sz="4" w:space="0" w:color="A6A6A6" w:themeColor="background1" w:themeShade="A6"/>
              <w:bottom w:val="single" w:sz="4" w:space="0" w:color="A6A6A6" w:themeColor="background1" w:themeShade="A6"/>
            </w:tcBorders>
            <w:hideMark/>
          </w:tcPr>
          <w:p w14:paraId="4FB8F0EC" w14:textId="77777777" w:rsidR="000113BB" w:rsidRPr="000113BB" w:rsidRDefault="000113BB" w:rsidP="000113BB">
            <w:pPr>
              <w:spacing w:after="120"/>
              <w:jc w:val="center"/>
              <w:rPr>
                <w:rFonts w:ascii="Garamond" w:hAnsi="Garamond"/>
                <w:bCs/>
                <w:sz w:val="20"/>
                <w:szCs w:val="20"/>
                <w:lang w:val="en-CA"/>
              </w:rPr>
            </w:pPr>
          </w:p>
        </w:tc>
        <w:tc>
          <w:tcPr>
            <w:tcW w:w="1080" w:type="dxa"/>
            <w:tcBorders>
              <w:top w:val="single" w:sz="4" w:space="0" w:color="A6A6A6" w:themeColor="background1" w:themeShade="A6"/>
              <w:bottom w:val="single" w:sz="4" w:space="0" w:color="A6A6A6" w:themeColor="background1" w:themeShade="A6"/>
            </w:tcBorders>
            <w:hideMark/>
          </w:tcPr>
          <w:p w14:paraId="04FF65C7" w14:textId="77777777" w:rsidR="000113BB" w:rsidRPr="000113BB" w:rsidRDefault="000113BB" w:rsidP="000113BB">
            <w:pPr>
              <w:spacing w:after="120"/>
              <w:jc w:val="center"/>
              <w:rPr>
                <w:rFonts w:ascii="Garamond" w:hAnsi="Garamond"/>
                <w:bCs/>
                <w:sz w:val="20"/>
                <w:szCs w:val="20"/>
                <w:lang w:val="en-CA"/>
              </w:rPr>
            </w:pPr>
          </w:p>
        </w:tc>
        <w:tc>
          <w:tcPr>
            <w:tcW w:w="990" w:type="dxa"/>
            <w:tcBorders>
              <w:top w:val="single" w:sz="4" w:space="0" w:color="A6A6A6" w:themeColor="background1" w:themeShade="A6"/>
              <w:bottom w:val="single" w:sz="4" w:space="0" w:color="A6A6A6" w:themeColor="background1" w:themeShade="A6"/>
            </w:tcBorders>
            <w:hideMark/>
          </w:tcPr>
          <w:p w14:paraId="54F0472D" w14:textId="77777777" w:rsidR="000113BB" w:rsidRPr="000113BB" w:rsidRDefault="000113BB" w:rsidP="000113BB">
            <w:pPr>
              <w:spacing w:after="120"/>
              <w:jc w:val="center"/>
              <w:rPr>
                <w:rFonts w:ascii="Garamond" w:hAnsi="Garamond"/>
                <w:bCs/>
                <w:sz w:val="20"/>
                <w:szCs w:val="20"/>
                <w:lang w:val="en-CA"/>
              </w:rPr>
            </w:pPr>
          </w:p>
        </w:tc>
      </w:tr>
      <w:tr w:rsidR="000113BB" w:rsidRPr="000113BB" w14:paraId="63792D32" w14:textId="77777777" w:rsidTr="003856DA">
        <w:trPr>
          <w:trHeight w:val="300"/>
        </w:trPr>
        <w:tc>
          <w:tcPr>
            <w:tcW w:w="2070" w:type="dxa"/>
            <w:tcBorders>
              <w:top w:val="single" w:sz="4" w:space="0" w:color="A6A6A6" w:themeColor="background1" w:themeShade="A6"/>
              <w:left w:val="nil"/>
              <w:bottom w:val="single" w:sz="4" w:space="0" w:color="auto"/>
              <w:right w:val="nil"/>
            </w:tcBorders>
            <w:hideMark/>
          </w:tcPr>
          <w:p w14:paraId="6B16949A" w14:textId="77777777" w:rsidR="000113BB" w:rsidRPr="000113BB" w:rsidRDefault="000113BB" w:rsidP="000113BB">
            <w:pPr>
              <w:spacing w:after="120"/>
              <w:rPr>
                <w:rFonts w:ascii="Garamond" w:hAnsi="Garamond"/>
                <w:bCs/>
                <w:sz w:val="20"/>
                <w:szCs w:val="20"/>
                <w:lang w:val="en-CA"/>
              </w:rPr>
            </w:pPr>
            <w:r w:rsidRPr="000113BB">
              <w:rPr>
                <w:rFonts w:ascii="Garamond" w:hAnsi="Garamond"/>
                <w:bCs/>
                <w:sz w:val="20"/>
                <w:szCs w:val="20"/>
                <w:lang w:val="en-CA"/>
              </w:rPr>
              <w:t>Yang et al. (2018)</w:t>
            </w:r>
          </w:p>
        </w:tc>
        <w:tc>
          <w:tcPr>
            <w:tcW w:w="1800" w:type="dxa"/>
            <w:tcBorders>
              <w:top w:val="single" w:sz="4" w:space="0" w:color="A6A6A6" w:themeColor="background1" w:themeShade="A6"/>
              <w:left w:val="nil"/>
              <w:bottom w:val="single" w:sz="4" w:space="0" w:color="auto"/>
              <w:right w:val="nil"/>
            </w:tcBorders>
            <w:hideMark/>
          </w:tcPr>
          <w:p w14:paraId="5C4FD1DA" w14:textId="77777777" w:rsidR="000113BB" w:rsidRPr="000113BB" w:rsidRDefault="000113BB" w:rsidP="000113BB">
            <w:pPr>
              <w:spacing w:after="120"/>
              <w:rPr>
                <w:rFonts w:ascii="Garamond" w:hAnsi="Garamond"/>
                <w:bCs/>
                <w:sz w:val="20"/>
                <w:szCs w:val="20"/>
                <w:lang w:val="en-CA"/>
              </w:rPr>
            </w:pPr>
            <w:r w:rsidRPr="000113BB">
              <w:rPr>
                <w:rFonts w:ascii="Garamond" w:hAnsi="Garamond"/>
                <w:bCs/>
                <w:sz w:val="20"/>
                <w:szCs w:val="20"/>
                <w:lang w:val="en-CA"/>
              </w:rPr>
              <w:t>Chinese adults</w:t>
            </w:r>
          </w:p>
        </w:tc>
        <w:tc>
          <w:tcPr>
            <w:tcW w:w="900" w:type="dxa"/>
            <w:tcBorders>
              <w:top w:val="single" w:sz="4" w:space="0" w:color="A6A6A6" w:themeColor="background1" w:themeShade="A6"/>
              <w:left w:val="nil"/>
              <w:bottom w:val="single" w:sz="4" w:space="0" w:color="auto"/>
              <w:right w:val="nil"/>
            </w:tcBorders>
            <w:hideMark/>
          </w:tcPr>
          <w:p w14:paraId="7D328669" w14:textId="77777777" w:rsidR="000113BB" w:rsidRPr="000113BB" w:rsidRDefault="000113BB" w:rsidP="000113BB">
            <w:pPr>
              <w:spacing w:after="120"/>
              <w:jc w:val="center"/>
              <w:rPr>
                <w:rFonts w:ascii="Garamond" w:hAnsi="Garamond"/>
                <w:bCs/>
                <w:sz w:val="20"/>
                <w:szCs w:val="20"/>
                <w:lang w:val="en-CA"/>
              </w:rPr>
            </w:pPr>
            <w:r w:rsidRPr="000113BB">
              <w:rPr>
                <w:rFonts w:ascii="Garamond" w:hAnsi="Garamond"/>
                <w:bCs/>
                <w:sz w:val="20"/>
                <w:szCs w:val="20"/>
                <w:lang w:val="en-CA"/>
              </w:rPr>
              <w:t>633</w:t>
            </w:r>
          </w:p>
        </w:tc>
        <w:tc>
          <w:tcPr>
            <w:tcW w:w="900" w:type="dxa"/>
            <w:tcBorders>
              <w:top w:val="single" w:sz="4" w:space="0" w:color="A6A6A6" w:themeColor="background1" w:themeShade="A6"/>
              <w:left w:val="nil"/>
              <w:bottom w:val="single" w:sz="4" w:space="0" w:color="auto"/>
              <w:right w:val="nil"/>
            </w:tcBorders>
            <w:hideMark/>
          </w:tcPr>
          <w:p w14:paraId="165B71C5" w14:textId="77777777" w:rsidR="000113BB" w:rsidRPr="000113BB" w:rsidRDefault="000113BB" w:rsidP="000113BB">
            <w:pPr>
              <w:spacing w:after="120"/>
              <w:jc w:val="center"/>
              <w:rPr>
                <w:rFonts w:ascii="Garamond" w:hAnsi="Garamond"/>
                <w:bCs/>
                <w:sz w:val="20"/>
                <w:szCs w:val="20"/>
                <w:lang w:val="en-CA"/>
              </w:rPr>
            </w:pPr>
          </w:p>
        </w:tc>
        <w:tc>
          <w:tcPr>
            <w:tcW w:w="1170" w:type="dxa"/>
            <w:tcBorders>
              <w:top w:val="single" w:sz="4" w:space="0" w:color="A6A6A6" w:themeColor="background1" w:themeShade="A6"/>
              <w:left w:val="nil"/>
              <w:bottom w:val="single" w:sz="4" w:space="0" w:color="auto"/>
              <w:right w:val="nil"/>
            </w:tcBorders>
            <w:hideMark/>
          </w:tcPr>
          <w:p w14:paraId="4D283D33" w14:textId="77777777" w:rsidR="000113BB" w:rsidRPr="000113BB" w:rsidRDefault="000113BB" w:rsidP="000113BB">
            <w:pPr>
              <w:spacing w:after="120"/>
              <w:jc w:val="center"/>
              <w:rPr>
                <w:rFonts w:ascii="Garamond" w:hAnsi="Garamond"/>
                <w:bCs/>
                <w:sz w:val="20"/>
                <w:szCs w:val="20"/>
                <w:lang w:val="en-CA"/>
              </w:rPr>
            </w:pPr>
            <w:r w:rsidRPr="000113BB">
              <w:rPr>
                <w:rFonts w:ascii="Segoe UI Symbol" w:hAnsi="Segoe UI Symbol" w:cs="Segoe UI Symbol"/>
                <w:bCs/>
                <w:sz w:val="20"/>
                <w:szCs w:val="20"/>
                <w:lang w:val="en-CA"/>
              </w:rPr>
              <w:t>✓</w:t>
            </w:r>
          </w:p>
        </w:tc>
        <w:tc>
          <w:tcPr>
            <w:tcW w:w="900" w:type="dxa"/>
            <w:tcBorders>
              <w:top w:val="single" w:sz="4" w:space="0" w:color="A6A6A6" w:themeColor="background1" w:themeShade="A6"/>
              <w:left w:val="nil"/>
              <w:bottom w:val="single" w:sz="4" w:space="0" w:color="auto"/>
              <w:right w:val="nil"/>
            </w:tcBorders>
            <w:hideMark/>
          </w:tcPr>
          <w:p w14:paraId="1BC0B4EE" w14:textId="77777777" w:rsidR="000113BB" w:rsidRPr="000113BB" w:rsidRDefault="000113BB" w:rsidP="000113BB">
            <w:pPr>
              <w:spacing w:after="120"/>
              <w:jc w:val="center"/>
              <w:rPr>
                <w:rFonts w:ascii="Garamond" w:hAnsi="Garamond"/>
                <w:bCs/>
                <w:sz w:val="20"/>
                <w:szCs w:val="20"/>
                <w:lang w:val="en-CA"/>
              </w:rPr>
            </w:pPr>
          </w:p>
        </w:tc>
        <w:tc>
          <w:tcPr>
            <w:tcW w:w="990" w:type="dxa"/>
            <w:tcBorders>
              <w:top w:val="single" w:sz="4" w:space="0" w:color="A6A6A6" w:themeColor="background1" w:themeShade="A6"/>
              <w:left w:val="nil"/>
              <w:bottom w:val="single" w:sz="4" w:space="0" w:color="auto"/>
              <w:right w:val="nil"/>
            </w:tcBorders>
            <w:hideMark/>
          </w:tcPr>
          <w:p w14:paraId="4AE9DB69" w14:textId="77777777" w:rsidR="000113BB" w:rsidRPr="000113BB" w:rsidRDefault="000113BB" w:rsidP="000113BB">
            <w:pPr>
              <w:spacing w:after="120"/>
              <w:jc w:val="center"/>
              <w:rPr>
                <w:rFonts w:ascii="Garamond" w:hAnsi="Garamond"/>
                <w:bCs/>
                <w:sz w:val="20"/>
                <w:szCs w:val="20"/>
                <w:lang w:val="en-CA"/>
              </w:rPr>
            </w:pPr>
          </w:p>
        </w:tc>
        <w:tc>
          <w:tcPr>
            <w:tcW w:w="900" w:type="dxa"/>
            <w:tcBorders>
              <w:top w:val="single" w:sz="4" w:space="0" w:color="A6A6A6" w:themeColor="background1" w:themeShade="A6"/>
              <w:left w:val="nil"/>
              <w:bottom w:val="single" w:sz="4" w:space="0" w:color="auto"/>
              <w:right w:val="nil"/>
            </w:tcBorders>
            <w:hideMark/>
          </w:tcPr>
          <w:p w14:paraId="089339E4" w14:textId="77777777" w:rsidR="000113BB" w:rsidRPr="000113BB" w:rsidRDefault="000113BB" w:rsidP="000113BB">
            <w:pPr>
              <w:spacing w:after="120"/>
              <w:jc w:val="center"/>
              <w:rPr>
                <w:rFonts w:ascii="Garamond" w:hAnsi="Garamond"/>
                <w:bCs/>
                <w:sz w:val="20"/>
                <w:szCs w:val="20"/>
                <w:lang w:val="en-CA"/>
              </w:rPr>
            </w:pPr>
            <w:r w:rsidRPr="000113BB">
              <w:rPr>
                <w:rFonts w:ascii="Segoe UI Symbol" w:hAnsi="Segoe UI Symbol" w:cs="Segoe UI Symbol"/>
                <w:bCs/>
                <w:sz w:val="20"/>
                <w:szCs w:val="20"/>
                <w:lang w:val="en-CA"/>
              </w:rPr>
              <w:t>✓</w:t>
            </w:r>
          </w:p>
        </w:tc>
        <w:tc>
          <w:tcPr>
            <w:tcW w:w="900" w:type="dxa"/>
            <w:tcBorders>
              <w:top w:val="single" w:sz="4" w:space="0" w:color="A6A6A6" w:themeColor="background1" w:themeShade="A6"/>
              <w:left w:val="nil"/>
              <w:bottom w:val="single" w:sz="4" w:space="0" w:color="auto"/>
              <w:right w:val="nil"/>
            </w:tcBorders>
            <w:hideMark/>
          </w:tcPr>
          <w:p w14:paraId="1320A524" w14:textId="77777777" w:rsidR="000113BB" w:rsidRPr="000113BB" w:rsidRDefault="000113BB" w:rsidP="000113BB">
            <w:pPr>
              <w:spacing w:after="120"/>
              <w:jc w:val="center"/>
              <w:rPr>
                <w:rFonts w:ascii="Garamond" w:hAnsi="Garamond"/>
                <w:bCs/>
                <w:sz w:val="20"/>
                <w:szCs w:val="20"/>
                <w:lang w:val="en-CA"/>
              </w:rPr>
            </w:pPr>
          </w:p>
        </w:tc>
        <w:tc>
          <w:tcPr>
            <w:tcW w:w="990" w:type="dxa"/>
            <w:tcBorders>
              <w:top w:val="single" w:sz="4" w:space="0" w:color="A6A6A6" w:themeColor="background1" w:themeShade="A6"/>
              <w:left w:val="nil"/>
              <w:bottom w:val="single" w:sz="4" w:space="0" w:color="auto"/>
              <w:right w:val="nil"/>
            </w:tcBorders>
            <w:hideMark/>
          </w:tcPr>
          <w:p w14:paraId="666C0A3A" w14:textId="77777777" w:rsidR="000113BB" w:rsidRPr="000113BB" w:rsidRDefault="000113BB" w:rsidP="000113BB">
            <w:pPr>
              <w:spacing w:after="120"/>
              <w:jc w:val="center"/>
              <w:rPr>
                <w:rFonts w:ascii="Garamond" w:hAnsi="Garamond"/>
                <w:bCs/>
                <w:sz w:val="20"/>
                <w:szCs w:val="20"/>
                <w:lang w:val="en-CA"/>
              </w:rPr>
            </w:pPr>
          </w:p>
        </w:tc>
        <w:tc>
          <w:tcPr>
            <w:tcW w:w="1080" w:type="dxa"/>
            <w:tcBorders>
              <w:top w:val="single" w:sz="4" w:space="0" w:color="A6A6A6" w:themeColor="background1" w:themeShade="A6"/>
              <w:left w:val="nil"/>
              <w:bottom w:val="single" w:sz="4" w:space="0" w:color="auto"/>
              <w:right w:val="nil"/>
            </w:tcBorders>
            <w:hideMark/>
          </w:tcPr>
          <w:p w14:paraId="59D13D18" w14:textId="77777777" w:rsidR="000113BB" w:rsidRPr="000113BB" w:rsidRDefault="000113BB" w:rsidP="000113BB">
            <w:pPr>
              <w:spacing w:after="120"/>
              <w:jc w:val="center"/>
              <w:rPr>
                <w:rFonts w:ascii="Garamond" w:hAnsi="Garamond"/>
                <w:bCs/>
                <w:sz w:val="20"/>
                <w:szCs w:val="20"/>
                <w:lang w:val="en-CA"/>
              </w:rPr>
            </w:pPr>
          </w:p>
        </w:tc>
        <w:tc>
          <w:tcPr>
            <w:tcW w:w="990" w:type="dxa"/>
            <w:tcBorders>
              <w:top w:val="single" w:sz="4" w:space="0" w:color="A6A6A6" w:themeColor="background1" w:themeShade="A6"/>
              <w:left w:val="nil"/>
              <w:bottom w:val="single" w:sz="4" w:space="0" w:color="auto"/>
              <w:right w:val="nil"/>
            </w:tcBorders>
            <w:hideMark/>
          </w:tcPr>
          <w:p w14:paraId="4B219C62" w14:textId="77777777" w:rsidR="000113BB" w:rsidRPr="000113BB" w:rsidRDefault="000113BB" w:rsidP="000113BB">
            <w:pPr>
              <w:spacing w:after="120"/>
              <w:jc w:val="center"/>
              <w:rPr>
                <w:rFonts w:ascii="Garamond" w:hAnsi="Garamond"/>
                <w:bCs/>
                <w:sz w:val="20"/>
                <w:szCs w:val="20"/>
                <w:lang w:val="en-CA"/>
              </w:rPr>
            </w:pPr>
            <w:r w:rsidRPr="000113BB">
              <w:rPr>
                <w:rFonts w:ascii="Segoe UI Symbol" w:hAnsi="Segoe UI Symbol" w:cs="Segoe UI Symbol"/>
                <w:bCs/>
                <w:sz w:val="20"/>
                <w:szCs w:val="20"/>
                <w:lang w:val="en-CA"/>
              </w:rPr>
              <w:t>✓</w:t>
            </w:r>
          </w:p>
        </w:tc>
      </w:tr>
      <w:tr w:rsidR="000113BB" w:rsidRPr="000113BB" w14:paraId="73867854" w14:textId="77777777" w:rsidTr="003856DA">
        <w:trPr>
          <w:trHeight w:val="300"/>
        </w:trPr>
        <w:tc>
          <w:tcPr>
            <w:tcW w:w="2070" w:type="dxa"/>
            <w:tcBorders>
              <w:top w:val="single" w:sz="4" w:space="0" w:color="auto"/>
              <w:left w:val="nil"/>
              <w:bottom w:val="single" w:sz="4" w:space="0" w:color="auto"/>
              <w:right w:val="nil"/>
            </w:tcBorders>
            <w:hideMark/>
          </w:tcPr>
          <w:p w14:paraId="3AC7CFF3" w14:textId="77777777" w:rsidR="000113BB" w:rsidRPr="000113BB" w:rsidRDefault="000113BB" w:rsidP="000113BB">
            <w:pPr>
              <w:spacing w:after="120"/>
              <w:jc w:val="both"/>
              <w:rPr>
                <w:rFonts w:ascii="Garamond" w:hAnsi="Garamond"/>
                <w:bCs/>
                <w:lang w:val="en-CA"/>
              </w:rPr>
            </w:pPr>
            <w:r w:rsidRPr="000113BB">
              <w:rPr>
                <w:rFonts w:ascii="Garamond" w:hAnsi="Garamond"/>
                <w:bCs/>
                <w:lang w:val="en-CA"/>
              </w:rPr>
              <w:t>Total</w:t>
            </w:r>
          </w:p>
        </w:tc>
        <w:tc>
          <w:tcPr>
            <w:tcW w:w="1800" w:type="dxa"/>
            <w:tcBorders>
              <w:top w:val="single" w:sz="4" w:space="0" w:color="auto"/>
              <w:left w:val="nil"/>
              <w:bottom w:val="single" w:sz="4" w:space="0" w:color="auto"/>
              <w:right w:val="nil"/>
            </w:tcBorders>
            <w:hideMark/>
          </w:tcPr>
          <w:p w14:paraId="1E816FA0" w14:textId="77777777" w:rsidR="000113BB" w:rsidRPr="000113BB" w:rsidRDefault="000113BB" w:rsidP="000113BB">
            <w:pPr>
              <w:spacing w:after="120"/>
              <w:jc w:val="both"/>
              <w:rPr>
                <w:rFonts w:ascii="Garamond" w:hAnsi="Garamond"/>
                <w:bCs/>
                <w:lang w:val="en-CA"/>
              </w:rPr>
            </w:pPr>
          </w:p>
        </w:tc>
        <w:tc>
          <w:tcPr>
            <w:tcW w:w="900" w:type="dxa"/>
            <w:tcBorders>
              <w:top w:val="single" w:sz="4" w:space="0" w:color="auto"/>
              <w:left w:val="nil"/>
              <w:bottom w:val="single" w:sz="4" w:space="0" w:color="auto"/>
              <w:right w:val="nil"/>
            </w:tcBorders>
            <w:hideMark/>
          </w:tcPr>
          <w:p w14:paraId="66A41880" w14:textId="77777777" w:rsidR="000113BB" w:rsidRPr="000113BB" w:rsidRDefault="000113BB" w:rsidP="003856DA">
            <w:pPr>
              <w:spacing w:after="120"/>
              <w:jc w:val="center"/>
              <w:rPr>
                <w:rFonts w:ascii="Garamond" w:hAnsi="Garamond"/>
                <w:bCs/>
                <w:lang w:val="en-CA"/>
              </w:rPr>
            </w:pPr>
          </w:p>
        </w:tc>
        <w:tc>
          <w:tcPr>
            <w:tcW w:w="900" w:type="dxa"/>
            <w:tcBorders>
              <w:top w:val="single" w:sz="4" w:space="0" w:color="auto"/>
              <w:left w:val="nil"/>
              <w:bottom w:val="single" w:sz="4" w:space="0" w:color="auto"/>
              <w:right w:val="nil"/>
            </w:tcBorders>
            <w:hideMark/>
          </w:tcPr>
          <w:p w14:paraId="404CDC5D" w14:textId="77777777" w:rsidR="000113BB" w:rsidRPr="000113BB" w:rsidRDefault="000113BB" w:rsidP="003856DA">
            <w:pPr>
              <w:spacing w:after="120"/>
              <w:jc w:val="center"/>
              <w:rPr>
                <w:rFonts w:ascii="Garamond" w:hAnsi="Garamond"/>
                <w:bCs/>
                <w:lang w:val="en-CA"/>
              </w:rPr>
            </w:pPr>
            <w:r w:rsidRPr="000113BB">
              <w:rPr>
                <w:rFonts w:ascii="Garamond" w:hAnsi="Garamond"/>
                <w:bCs/>
                <w:lang w:val="en-CA"/>
              </w:rPr>
              <w:t>3</w:t>
            </w:r>
          </w:p>
        </w:tc>
        <w:tc>
          <w:tcPr>
            <w:tcW w:w="1170" w:type="dxa"/>
            <w:tcBorders>
              <w:top w:val="single" w:sz="4" w:space="0" w:color="auto"/>
              <w:left w:val="nil"/>
              <w:bottom w:val="single" w:sz="4" w:space="0" w:color="auto"/>
              <w:right w:val="nil"/>
            </w:tcBorders>
            <w:hideMark/>
          </w:tcPr>
          <w:p w14:paraId="5FAEAAE8" w14:textId="03B40487" w:rsidR="000113BB" w:rsidRPr="000113BB" w:rsidRDefault="001655D7" w:rsidP="003856DA">
            <w:pPr>
              <w:spacing w:after="120"/>
              <w:jc w:val="center"/>
              <w:rPr>
                <w:rFonts w:ascii="Garamond" w:hAnsi="Garamond"/>
                <w:bCs/>
                <w:lang w:val="en-CA"/>
              </w:rPr>
            </w:pPr>
            <w:r>
              <w:rPr>
                <w:rFonts w:ascii="Garamond" w:hAnsi="Garamond"/>
                <w:bCs/>
                <w:lang w:val="en-CA"/>
              </w:rPr>
              <w:t>19</w:t>
            </w:r>
          </w:p>
        </w:tc>
        <w:tc>
          <w:tcPr>
            <w:tcW w:w="900" w:type="dxa"/>
            <w:tcBorders>
              <w:top w:val="single" w:sz="4" w:space="0" w:color="auto"/>
              <w:left w:val="nil"/>
              <w:bottom w:val="single" w:sz="4" w:space="0" w:color="auto"/>
              <w:right w:val="nil"/>
            </w:tcBorders>
            <w:hideMark/>
          </w:tcPr>
          <w:p w14:paraId="4ADF7F4A" w14:textId="77777777" w:rsidR="000113BB" w:rsidRPr="000113BB" w:rsidRDefault="000113BB" w:rsidP="003856DA">
            <w:pPr>
              <w:spacing w:after="120"/>
              <w:jc w:val="center"/>
              <w:rPr>
                <w:rFonts w:ascii="Garamond" w:hAnsi="Garamond"/>
                <w:bCs/>
                <w:lang w:val="en-CA"/>
              </w:rPr>
            </w:pPr>
            <w:r w:rsidRPr="000113BB">
              <w:rPr>
                <w:rFonts w:ascii="Garamond" w:hAnsi="Garamond"/>
                <w:bCs/>
                <w:lang w:val="en-CA"/>
              </w:rPr>
              <w:t>1</w:t>
            </w:r>
          </w:p>
        </w:tc>
        <w:tc>
          <w:tcPr>
            <w:tcW w:w="990" w:type="dxa"/>
            <w:tcBorders>
              <w:top w:val="single" w:sz="4" w:space="0" w:color="auto"/>
              <w:left w:val="nil"/>
              <w:bottom w:val="single" w:sz="4" w:space="0" w:color="auto"/>
              <w:right w:val="nil"/>
            </w:tcBorders>
            <w:hideMark/>
          </w:tcPr>
          <w:p w14:paraId="7B232121" w14:textId="19A538E3" w:rsidR="000113BB" w:rsidRPr="000113BB" w:rsidRDefault="007C45B3" w:rsidP="003856DA">
            <w:pPr>
              <w:spacing w:after="120"/>
              <w:jc w:val="center"/>
              <w:rPr>
                <w:rFonts w:ascii="Garamond" w:hAnsi="Garamond"/>
                <w:bCs/>
                <w:lang w:val="en-CA"/>
              </w:rPr>
            </w:pPr>
            <w:r>
              <w:rPr>
                <w:rFonts w:ascii="Garamond" w:hAnsi="Garamond"/>
                <w:bCs/>
                <w:lang w:val="en-CA"/>
              </w:rPr>
              <w:t>6</w:t>
            </w:r>
          </w:p>
        </w:tc>
        <w:tc>
          <w:tcPr>
            <w:tcW w:w="900" w:type="dxa"/>
            <w:tcBorders>
              <w:top w:val="single" w:sz="4" w:space="0" w:color="auto"/>
              <w:left w:val="nil"/>
              <w:bottom w:val="single" w:sz="4" w:space="0" w:color="auto"/>
              <w:right w:val="nil"/>
            </w:tcBorders>
            <w:hideMark/>
          </w:tcPr>
          <w:p w14:paraId="0DBAFABC" w14:textId="682644DF" w:rsidR="000113BB" w:rsidRPr="000113BB" w:rsidRDefault="007C45B3" w:rsidP="00D14A41">
            <w:pPr>
              <w:spacing w:after="120"/>
              <w:jc w:val="center"/>
              <w:rPr>
                <w:rFonts w:ascii="Garamond" w:hAnsi="Garamond"/>
                <w:bCs/>
                <w:lang w:val="en-CA"/>
              </w:rPr>
            </w:pPr>
            <w:r>
              <w:rPr>
                <w:rFonts w:ascii="Garamond" w:hAnsi="Garamond"/>
                <w:bCs/>
                <w:lang w:val="en-CA"/>
              </w:rPr>
              <w:t>13</w:t>
            </w:r>
          </w:p>
        </w:tc>
        <w:tc>
          <w:tcPr>
            <w:tcW w:w="900" w:type="dxa"/>
            <w:tcBorders>
              <w:top w:val="single" w:sz="4" w:space="0" w:color="auto"/>
              <w:left w:val="nil"/>
              <w:bottom w:val="single" w:sz="4" w:space="0" w:color="auto"/>
              <w:right w:val="nil"/>
            </w:tcBorders>
            <w:hideMark/>
          </w:tcPr>
          <w:p w14:paraId="5931A8A1" w14:textId="77777777" w:rsidR="000113BB" w:rsidRPr="000113BB" w:rsidRDefault="000113BB" w:rsidP="003856DA">
            <w:pPr>
              <w:spacing w:after="120"/>
              <w:jc w:val="center"/>
              <w:rPr>
                <w:rFonts w:ascii="Garamond" w:hAnsi="Garamond"/>
                <w:bCs/>
                <w:lang w:val="en-CA"/>
              </w:rPr>
            </w:pPr>
            <w:r w:rsidRPr="000113BB">
              <w:rPr>
                <w:rFonts w:ascii="Garamond" w:hAnsi="Garamond"/>
                <w:bCs/>
                <w:lang w:val="en-CA"/>
              </w:rPr>
              <w:t>4</w:t>
            </w:r>
          </w:p>
        </w:tc>
        <w:tc>
          <w:tcPr>
            <w:tcW w:w="990" w:type="dxa"/>
            <w:tcBorders>
              <w:top w:val="single" w:sz="4" w:space="0" w:color="auto"/>
              <w:left w:val="nil"/>
              <w:bottom w:val="single" w:sz="4" w:space="0" w:color="auto"/>
              <w:right w:val="nil"/>
            </w:tcBorders>
            <w:hideMark/>
          </w:tcPr>
          <w:p w14:paraId="611F1A61" w14:textId="2746885D" w:rsidR="000113BB" w:rsidRPr="000113BB" w:rsidRDefault="00D14A41" w:rsidP="003856DA">
            <w:pPr>
              <w:spacing w:after="120"/>
              <w:jc w:val="center"/>
              <w:rPr>
                <w:rFonts w:ascii="Garamond" w:hAnsi="Garamond"/>
                <w:bCs/>
                <w:lang w:val="en-CA"/>
              </w:rPr>
            </w:pPr>
            <w:r>
              <w:rPr>
                <w:rFonts w:ascii="Garamond" w:hAnsi="Garamond"/>
                <w:bCs/>
                <w:lang w:val="en-CA"/>
              </w:rPr>
              <w:t>9</w:t>
            </w:r>
          </w:p>
        </w:tc>
        <w:tc>
          <w:tcPr>
            <w:tcW w:w="1080" w:type="dxa"/>
            <w:tcBorders>
              <w:top w:val="single" w:sz="4" w:space="0" w:color="auto"/>
              <w:left w:val="nil"/>
              <w:bottom w:val="single" w:sz="4" w:space="0" w:color="auto"/>
              <w:right w:val="nil"/>
            </w:tcBorders>
            <w:hideMark/>
          </w:tcPr>
          <w:p w14:paraId="0143D8AE" w14:textId="77777777" w:rsidR="000113BB" w:rsidRPr="000113BB" w:rsidRDefault="000113BB" w:rsidP="003856DA">
            <w:pPr>
              <w:spacing w:after="120"/>
              <w:jc w:val="center"/>
              <w:rPr>
                <w:rFonts w:ascii="Garamond" w:hAnsi="Garamond"/>
                <w:bCs/>
                <w:lang w:val="en-CA"/>
              </w:rPr>
            </w:pPr>
            <w:r w:rsidRPr="000113BB">
              <w:rPr>
                <w:rFonts w:ascii="Garamond" w:hAnsi="Garamond"/>
                <w:bCs/>
                <w:lang w:val="en-CA"/>
              </w:rPr>
              <w:t>1</w:t>
            </w:r>
          </w:p>
        </w:tc>
        <w:tc>
          <w:tcPr>
            <w:tcW w:w="990" w:type="dxa"/>
            <w:tcBorders>
              <w:top w:val="single" w:sz="4" w:space="0" w:color="auto"/>
              <w:left w:val="nil"/>
              <w:bottom w:val="single" w:sz="4" w:space="0" w:color="auto"/>
              <w:right w:val="nil"/>
            </w:tcBorders>
            <w:hideMark/>
          </w:tcPr>
          <w:p w14:paraId="22DC2BBB" w14:textId="0062864D" w:rsidR="000113BB" w:rsidRPr="000113BB" w:rsidRDefault="007C45B3" w:rsidP="003856DA">
            <w:pPr>
              <w:spacing w:after="120"/>
              <w:jc w:val="center"/>
              <w:rPr>
                <w:rFonts w:ascii="Garamond" w:hAnsi="Garamond"/>
                <w:bCs/>
                <w:lang w:val="en-CA"/>
              </w:rPr>
            </w:pPr>
            <w:r>
              <w:rPr>
                <w:rFonts w:ascii="Garamond" w:hAnsi="Garamond"/>
                <w:bCs/>
                <w:lang w:val="en-CA"/>
              </w:rPr>
              <w:t>4</w:t>
            </w:r>
          </w:p>
        </w:tc>
      </w:tr>
    </w:tbl>
    <w:p w14:paraId="08C31A3B" w14:textId="77777777" w:rsidR="000113BB" w:rsidRPr="000113BB" w:rsidRDefault="000113BB" w:rsidP="000113BB">
      <w:pPr>
        <w:spacing w:after="120"/>
        <w:jc w:val="both"/>
        <w:rPr>
          <w:rFonts w:ascii="Garamond" w:hAnsi="Garamond"/>
          <w:bCs/>
          <w:lang w:val="en-CA"/>
        </w:rPr>
      </w:pPr>
    </w:p>
    <w:p w14:paraId="3AF40937" w14:textId="7C8304EB" w:rsidR="003856DA" w:rsidRPr="003856DA" w:rsidRDefault="003856DA" w:rsidP="003856DA">
      <w:pPr>
        <w:spacing w:after="120"/>
        <w:jc w:val="both"/>
        <w:rPr>
          <w:rFonts w:ascii="Garamond" w:hAnsi="Garamond"/>
          <w:b/>
          <w:bCs/>
          <w:iCs/>
          <w:lang w:val="en-CA"/>
        </w:rPr>
      </w:pPr>
      <w:r w:rsidRPr="003856DA">
        <w:rPr>
          <w:rFonts w:ascii="Garamond" w:hAnsi="Garamond"/>
          <w:b/>
          <w:bCs/>
          <w:iCs/>
          <w:lang w:val="en-CA"/>
        </w:rPr>
        <w:t xml:space="preserve">Table </w:t>
      </w:r>
      <w:r w:rsidRPr="003856DA">
        <w:rPr>
          <w:rFonts w:ascii="Garamond" w:hAnsi="Garamond"/>
          <w:b/>
          <w:bCs/>
          <w:iCs/>
          <w:lang w:val="en-CA"/>
        </w:rPr>
        <w:fldChar w:fldCharType="begin"/>
      </w:r>
      <w:r w:rsidRPr="003856DA">
        <w:rPr>
          <w:rFonts w:ascii="Garamond" w:hAnsi="Garamond"/>
          <w:b/>
          <w:bCs/>
          <w:iCs/>
          <w:lang w:val="en-CA"/>
        </w:rPr>
        <w:instrText xml:space="preserve"> SEQ Table \* ARABIC </w:instrText>
      </w:r>
      <w:r w:rsidRPr="003856DA">
        <w:rPr>
          <w:rFonts w:ascii="Garamond" w:hAnsi="Garamond"/>
          <w:b/>
          <w:bCs/>
          <w:iCs/>
          <w:lang w:val="en-CA"/>
        </w:rPr>
        <w:fldChar w:fldCharType="separate"/>
      </w:r>
      <w:r w:rsidRPr="003856DA">
        <w:rPr>
          <w:rFonts w:ascii="Garamond" w:hAnsi="Garamond"/>
          <w:b/>
          <w:bCs/>
          <w:iCs/>
          <w:lang w:val="en-CA"/>
        </w:rPr>
        <w:t>2</w:t>
      </w:r>
      <w:r w:rsidRPr="003856DA">
        <w:rPr>
          <w:rFonts w:ascii="Garamond" w:hAnsi="Garamond"/>
          <w:bCs/>
        </w:rPr>
        <w:fldChar w:fldCharType="end"/>
      </w:r>
      <w:r>
        <w:rPr>
          <w:rFonts w:ascii="Garamond" w:hAnsi="Garamond"/>
          <w:b/>
          <w:bCs/>
          <w:iCs/>
          <w:lang w:val="en-CA"/>
        </w:rPr>
        <w:t xml:space="preserve">. </w:t>
      </w:r>
      <w:r w:rsidRPr="003856DA">
        <w:rPr>
          <w:rFonts w:ascii="Garamond" w:hAnsi="Garamond"/>
          <w:bCs/>
          <w:iCs/>
          <w:lang w:val="en-CA"/>
        </w:rPr>
        <w:t>The research purpose, and SII score intended uses and interpretations across studies</w:t>
      </w:r>
    </w:p>
    <w:tbl>
      <w:tblPr>
        <w:tblW w:w="13590" w:type="dxa"/>
        <w:tblBorders>
          <w:top w:val="single" w:sz="4" w:space="0" w:color="auto"/>
          <w:bottom w:val="single" w:sz="4" w:space="0" w:color="auto"/>
        </w:tblBorders>
        <w:tblLook w:val="04A0" w:firstRow="1" w:lastRow="0" w:firstColumn="1" w:lastColumn="0" w:noHBand="0" w:noVBand="1"/>
        <w:tblCaption w:val="Table 2 The research purpose, and SII score intended uses and interpretations across studies"/>
      </w:tblPr>
      <w:tblGrid>
        <w:gridCol w:w="2520"/>
        <w:gridCol w:w="5135"/>
        <w:gridCol w:w="5935"/>
      </w:tblGrid>
      <w:tr w:rsidR="003856DA" w:rsidRPr="003856DA" w14:paraId="32A58AB0" w14:textId="77777777" w:rsidTr="00942A41">
        <w:trPr>
          <w:trHeight w:val="600"/>
          <w:tblHeader/>
        </w:trPr>
        <w:tc>
          <w:tcPr>
            <w:tcW w:w="2520" w:type="dxa"/>
            <w:tcBorders>
              <w:top w:val="single" w:sz="4" w:space="0" w:color="auto"/>
              <w:bottom w:val="single" w:sz="4" w:space="0" w:color="auto"/>
            </w:tcBorders>
            <w:hideMark/>
          </w:tcPr>
          <w:p w14:paraId="3F125C72" w14:textId="77777777" w:rsidR="003856DA" w:rsidRPr="003856DA" w:rsidRDefault="003856DA" w:rsidP="003856DA">
            <w:pPr>
              <w:spacing w:after="120"/>
              <w:jc w:val="center"/>
              <w:rPr>
                <w:rFonts w:ascii="Garamond" w:hAnsi="Garamond"/>
                <w:b/>
                <w:bCs/>
                <w:sz w:val="20"/>
                <w:szCs w:val="20"/>
                <w:lang w:val="en-CA"/>
              </w:rPr>
            </w:pPr>
            <w:r w:rsidRPr="003856DA">
              <w:rPr>
                <w:rFonts w:ascii="Garamond" w:hAnsi="Garamond"/>
                <w:b/>
                <w:bCs/>
                <w:sz w:val="20"/>
                <w:szCs w:val="20"/>
                <w:lang w:val="en-CA"/>
              </w:rPr>
              <w:t>Author, Year</w:t>
            </w:r>
          </w:p>
        </w:tc>
        <w:tc>
          <w:tcPr>
            <w:tcW w:w="5135" w:type="dxa"/>
            <w:tcBorders>
              <w:top w:val="single" w:sz="4" w:space="0" w:color="auto"/>
              <w:bottom w:val="single" w:sz="4" w:space="0" w:color="auto"/>
            </w:tcBorders>
            <w:hideMark/>
          </w:tcPr>
          <w:p w14:paraId="3E71569C" w14:textId="77777777" w:rsidR="003856DA" w:rsidRPr="003856DA" w:rsidRDefault="003856DA" w:rsidP="003856DA">
            <w:pPr>
              <w:spacing w:after="120"/>
              <w:jc w:val="center"/>
              <w:rPr>
                <w:rFonts w:ascii="Garamond" w:hAnsi="Garamond"/>
                <w:b/>
                <w:bCs/>
                <w:sz w:val="20"/>
                <w:szCs w:val="20"/>
                <w:lang w:val="en-CA"/>
              </w:rPr>
            </w:pPr>
            <w:r w:rsidRPr="003856DA">
              <w:rPr>
                <w:rFonts w:ascii="Garamond" w:hAnsi="Garamond"/>
                <w:b/>
                <w:bCs/>
                <w:sz w:val="20"/>
                <w:szCs w:val="20"/>
                <w:lang w:val="en-CA"/>
              </w:rPr>
              <w:t>Research purpose</w:t>
            </w:r>
          </w:p>
        </w:tc>
        <w:tc>
          <w:tcPr>
            <w:tcW w:w="5935" w:type="dxa"/>
            <w:tcBorders>
              <w:top w:val="single" w:sz="4" w:space="0" w:color="auto"/>
              <w:bottom w:val="single" w:sz="4" w:space="0" w:color="auto"/>
            </w:tcBorders>
            <w:hideMark/>
          </w:tcPr>
          <w:p w14:paraId="1D14664E" w14:textId="77777777" w:rsidR="003856DA" w:rsidRPr="003856DA" w:rsidRDefault="003856DA" w:rsidP="003856DA">
            <w:pPr>
              <w:spacing w:after="120"/>
              <w:jc w:val="center"/>
              <w:rPr>
                <w:rFonts w:ascii="Garamond" w:hAnsi="Garamond"/>
                <w:b/>
                <w:bCs/>
                <w:sz w:val="20"/>
                <w:szCs w:val="20"/>
                <w:lang w:val="en-CA"/>
              </w:rPr>
            </w:pPr>
            <w:r w:rsidRPr="003856DA">
              <w:rPr>
                <w:rFonts w:ascii="Garamond" w:hAnsi="Garamond"/>
                <w:b/>
                <w:bCs/>
                <w:sz w:val="20"/>
                <w:szCs w:val="20"/>
                <w:lang w:val="en-CA"/>
              </w:rPr>
              <w:t>The intended use and interpretation of the test score</w:t>
            </w:r>
          </w:p>
        </w:tc>
      </w:tr>
      <w:tr w:rsidR="003856DA" w:rsidRPr="003856DA" w14:paraId="44C83804" w14:textId="77777777" w:rsidTr="003856DA">
        <w:trPr>
          <w:trHeight w:val="600"/>
        </w:trPr>
        <w:tc>
          <w:tcPr>
            <w:tcW w:w="2520" w:type="dxa"/>
            <w:tcBorders>
              <w:top w:val="single" w:sz="4" w:space="0" w:color="auto"/>
            </w:tcBorders>
            <w:hideMark/>
          </w:tcPr>
          <w:p w14:paraId="13C65F4D" w14:textId="77777777" w:rsidR="003856DA" w:rsidRPr="003856DA" w:rsidRDefault="003856DA" w:rsidP="003856DA">
            <w:pPr>
              <w:spacing w:after="120"/>
              <w:jc w:val="both"/>
              <w:rPr>
                <w:rFonts w:ascii="Garamond" w:hAnsi="Garamond"/>
                <w:bCs/>
                <w:sz w:val="20"/>
                <w:szCs w:val="20"/>
                <w:lang w:val="en-CA"/>
              </w:rPr>
            </w:pPr>
            <w:r w:rsidRPr="003856DA">
              <w:rPr>
                <w:rFonts w:ascii="Garamond" w:hAnsi="Garamond"/>
                <w:bCs/>
                <w:sz w:val="20"/>
                <w:szCs w:val="20"/>
                <w:lang w:val="en-CA"/>
              </w:rPr>
              <w:t>Armstrong &amp; Vogel (2009)</w:t>
            </w:r>
          </w:p>
        </w:tc>
        <w:tc>
          <w:tcPr>
            <w:tcW w:w="5135" w:type="dxa"/>
            <w:tcBorders>
              <w:top w:val="single" w:sz="4" w:space="0" w:color="auto"/>
            </w:tcBorders>
            <w:hideMark/>
          </w:tcPr>
          <w:p w14:paraId="3C42CCE3" w14:textId="77777777" w:rsidR="003856DA" w:rsidRPr="003856DA" w:rsidRDefault="003856DA" w:rsidP="003856DA">
            <w:pPr>
              <w:spacing w:after="120"/>
              <w:jc w:val="both"/>
              <w:rPr>
                <w:rFonts w:ascii="Garamond" w:hAnsi="Garamond"/>
                <w:bCs/>
                <w:sz w:val="20"/>
                <w:szCs w:val="20"/>
                <w:lang w:val="en-CA"/>
              </w:rPr>
            </w:pPr>
            <w:r w:rsidRPr="003856DA">
              <w:rPr>
                <w:rFonts w:ascii="Garamond" w:hAnsi="Garamond"/>
                <w:bCs/>
                <w:sz w:val="20"/>
                <w:szCs w:val="20"/>
                <w:lang w:val="en-CA"/>
              </w:rPr>
              <w:t>Evaluate whether interest and self-efficacy correlations align better with RIASEC than SCCT</w:t>
            </w:r>
          </w:p>
        </w:tc>
        <w:tc>
          <w:tcPr>
            <w:tcW w:w="5935" w:type="dxa"/>
            <w:tcBorders>
              <w:top w:val="single" w:sz="4" w:space="0" w:color="auto"/>
            </w:tcBorders>
            <w:hideMark/>
          </w:tcPr>
          <w:p w14:paraId="69BAF7FB" w14:textId="77777777" w:rsidR="003856DA" w:rsidRPr="003856DA" w:rsidRDefault="003856DA" w:rsidP="003856DA">
            <w:pPr>
              <w:spacing w:after="120"/>
              <w:jc w:val="both"/>
              <w:rPr>
                <w:rFonts w:ascii="Garamond" w:hAnsi="Garamond"/>
                <w:bCs/>
                <w:sz w:val="20"/>
                <w:szCs w:val="20"/>
                <w:lang w:val="en-CA"/>
              </w:rPr>
            </w:pPr>
            <w:r w:rsidRPr="003856DA">
              <w:rPr>
                <w:rFonts w:ascii="Garamond" w:hAnsi="Garamond"/>
                <w:bCs/>
                <w:sz w:val="20"/>
                <w:szCs w:val="20"/>
                <w:lang w:val="en-CA"/>
              </w:rPr>
              <w:t>Assess vocational interests and self-efficacy as components of RIASEC-type vocational identities</w:t>
            </w:r>
          </w:p>
        </w:tc>
      </w:tr>
      <w:tr w:rsidR="003856DA" w:rsidRPr="003856DA" w14:paraId="39E8DD1E" w14:textId="77777777" w:rsidTr="003856DA">
        <w:trPr>
          <w:trHeight w:val="600"/>
        </w:trPr>
        <w:tc>
          <w:tcPr>
            <w:tcW w:w="2520" w:type="dxa"/>
            <w:hideMark/>
          </w:tcPr>
          <w:p w14:paraId="5019D781" w14:textId="77777777" w:rsidR="003856DA" w:rsidRPr="003856DA" w:rsidRDefault="003856DA" w:rsidP="003856DA">
            <w:pPr>
              <w:spacing w:after="120"/>
              <w:jc w:val="both"/>
              <w:rPr>
                <w:rFonts w:ascii="Garamond" w:hAnsi="Garamond"/>
                <w:bCs/>
                <w:sz w:val="20"/>
                <w:szCs w:val="20"/>
                <w:lang w:val="en-CA"/>
              </w:rPr>
            </w:pPr>
            <w:r w:rsidRPr="003856DA">
              <w:rPr>
                <w:rFonts w:ascii="Garamond" w:hAnsi="Garamond"/>
                <w:bCs/>
                <w:sz w:val="20"/>
                <w:szCs w:val="20"/>
                <w:lang w:val="en-CA"/>
              </w:rPr>
              <w:t>Bailey et al. (2008)</w:t>
            </w:r>
          </w:p>
        </w:tc>
        <w:tc>
          <w:tcPr>
            <w:tcW w:w="5135" w:type="dxa"/>
            <w:hideMark/>
          </w:tcPr>
          <w:p w14:paraId="0A6D58D7" w14:textId="77777777" w:rsidR="003856DA" w:rsidRPr="003856DA" w:rsidRDefault="003856DA" w:rsidP="003856DA">
            <w:pPr>
              <w:spacing w:after="120"/>
              <w:jc w:val="both"/>
              <w:rPr>
                <w:rFonts w:ascii="Garamond" w:hAnsi="Garamond"/>
                <w:bCs/>
                <w:sz w:val="20"/>
                <w:szCs w:val="20"/>
                <w:lang w:val="en-CA"/>
              </w:rPr>
            </w:pPr>
            <w:r w:rsidRPr="003856DA">
              <w:rPr>
                <w:rFonts w:ascii="Garamond" w:hAnsi="Garamond"/>
                <w:bCs/>
                <w:sz w:val="20"/>
                <w:szCs w:val="20"/>
                <w:lang w:val="en-CA"/>
              </w:rPr>
              <w:t>Compare psychometric equivalency of 1994 vs 2005 SII versions</w:t>
            </w:r>
          </w:p>
        </w:tc>
        <w:tc>
          <w:tcPr>
            <w:tcW w:w="5935" w:type="dxa"/>
            <w:hideMark/>
          </w:tcPr>
          <w:p w14:paraId="1FF5F5F1" w14:textId="77777777" w:rsidR="003856DA" w:rsidRPr="003856DA" w:rsidRDefault="003856DA" w:rsidP="003856DA">
            <w:pPr>
              <w:spacing w:after="120"/>
              <w:jc w:val="both"/>
              <w:rPr>
                <w:rFonts w:ascii="Garamond" w:hAnsi="Garamond"/>
                <w:bCs/>
                <w:sz w:val="20"/>
                <w:szCs w:val="20"/>
                <w:lang w:val="en-CA"/>
              </w:rPr>
            </w:pPr>
            <w:r w:rsidRPr="003856DA">
              <w:rPr>
                <w:rFonts w:ascii="Garamond" w:hAnsi="Garamond"/>
                <w:bCs/>
                <w:sz w:val="20"/>
                <w:szCs w:val="20"/>
                <w:lang w:val="en-CA"/>
              </w:rPr>
              <w:t>Use SII to assess vocational interests and support career exploration</w:t>
            </w:r>
          </w:p>
        </w:tc>
      </w:tr>
      <w:tr w:rsidR="003856DA" w:rsidRPr="003856DA" w14:paraId="55451A06" w14:textId="77777777" w:rsidTr="003856DA">
        <w:trPr>
          <w:trHeight w:val="600"/>
        </w:trPr>
        <w:tc>
          <w:tcPr>
            <w:tcW w:w="2520" w:type="dxa"/>
            <w:hideMark/>
          </w:tcPr>
          <w:p w14:paraId="35779513" w14:textId="77777777" w:rsidR="003856DA" w:rsidRPr="003856DA" w:rsidRDefault="003856DA" w:rsidP="003856DA">
            <w:pPr>
              <w:spacing w:after="120"/>
              <w:jc w:val="both"/>
              <w:rPr>
                <w:rFonts w:ascii="Garamond" w:hAnsi="Garamond"/>
                <w:bCs/>
                <w:sz w:val="20"/>
                <w:szCs w:val="20"/>
                <w:lang w:val="en-CA"/>
              </w:rPr>
            </w:pPr>
            <w:r w:rsidRPr="003856DA">
              <w:rPr>
                <w:rFonts w:ascii="Garamond" w:hAnsi="Garamond"/>
                <w:bCs/>
                <w:sz w:val="20"/>
                <w:szCs w:val="20"/>
                <w:lang w:val="en-CA"/>
              </w:rPr>
              <w:t>Chu et al. (2022)</w:t>
            </w:r>
          </w:p>
        </w:tc>
        <w:tc>
          <w:tcPr>
            <w:tcW w:w="5135" w:type="dxa"/>
            <w:hideMark/>
          </w:tcPr>
          <w:p w14:paraId="479ED730" w14:textId="77777777" w:rsidR="003856DA" w:rsidRPr="003856DA" w:rsidRDefault="003856DA" w:rsidP="003856DA">
            <w:pPr>
              <w:spacing w:after="120"/>
              <w:jc w:val="both"/>
              <w:rPr>
                <w:rFonts w:ascii="Garamond" w:hAnsi="Garamond"/>
                <w:bCs/>
                <w:sz w:val="20"/>
                <w:szCs w:val="20"/>
                <w:lang w:val="en-CA"/>
              </w:rPr>
            </w:pPr>
            <w:r w:rsidRPr="003856DA">
              <w:rPr>
                <w:rFonts w:ascii="Garamond" w:hAnsi="Garamond"/>
                <w:bCs/>
                <w:sz w:val="20"/>
                <w:szCs w:val="20"/>
                <w:lang w:val="en-CA"/>
              </w:rPr>
              <w:t>Examine convergence and content validity of four RIASEC inventories</w:t>
            </w:r>
          </w:p>
        </w:tc>
        <w:tc>
          <w:tcPr>
            <w:tcW w:w="5935" w:type="dxa"/>
            <w:hideMark/>
          </w:tcPr>
          <w:p w14:paraId="33B22BBF" w14:textId="77777777" w:rsidR="003856DA" w:rsidRPr="003856DA" w:rsidRDefault="003856DA" w:rsidP="003856DA">
            <w:pPr>
              <w:spacing w:after="120"/>
              <w:jc w:val="both"/>
              <w:rPr>
                <w:rFonts w:ascii="Garamond" w:hAnsi="Garamond"/>
                <w:bCs/>
                <w:sz w:val="20"/>
                <w:szCs w:val="20"/>
                <w:lang w:val="en-CA"/>
              </w:rPr>
            </w:pPr>
            <w:r w:rsidRPr="003856DA">
              <w:rPr>
                <w:rFonts w:ascii="Garamond" w:hAnsi="Garamond"/>
                <w:bCs/>
                <w:sz w:val="20"/>
                <w:szCs w:val="20"/>
                <w:lang w:val="en-CA"/>
              </w:rPr>
              <w:t>Assess vocational interest profiles across inventories using RIASEC model</w:t>
            </w:r>
          </w:p>
        </w:tc>
      </w:tr>
      <w:tr w:rsidR="003856DA" w:rsidRPr="003856DA" w14:paraId="3DD09CE8" w14:textId="77777777" w:rsidTr="003856DA">
        <w:trPr>
          <w:trHeight w:val="600"/>
        </w:trPr>
        <w:tc>
          <w:tcPr>
            <w:tcW w:w="2520" w:type="dxa"/>
            <w:hideMark/>
          </w:tcPr>
          <w:p w14:paraId="570437A3" w14:textId="77777777" w:rsidR="003856DA" w:rsidRPr="003856DA" w:rsidRDefault="003856DA" w:rsidP="003856DA">
            <w:pPr>
              <w:spacing w:after="120"/>
              <w:jc w:val="both"/>
              <w:rPr>
                <w:rFonts w:ascii="Garamond" w:hAnsi="Garamond"/>
                <w:bCs/>
                <w:sz w:val="20"/>
                <w:szCs w:val="20"/>
                <w:lang w:val="en-CA"/>
              </w:rPr>
            </w:pPr>
            <w:r w:rsidRPr="003856DA">
              <w:rPr>
                <w:rFonts w:ascii="Garamond" w:hAnsi="Garamond"/>
                <w:bCs/>
                <w:sz w:val="20"/>
                <w:szCs w:val="20"/>
                <w:lang w:val="en-CA"/>
              </w:rPr>
              <w:t>Dik &amp; Hansen (2004)</w:t>
            </w:r>
          </w:p>
        </w:tc>
        <w:tc>
          <w:tcPr>
            <w:tcW w:w="5135" w:type="dxa"/>
            <w:hideMark/>
          </w:tcPr>
          <w:p w14:paraId="57D751CA" w14:textId="77777777" w:rsidR="003856DA" w:rsidRPr="003856DA" w:rsidRDefault="003856DA" w:rsidP="003856DA">
            <w:pPr>
              <w:spacing w:after="120"/>
              <w:jc w:val="both"/>
              <w:rPr>
                <w:rFonts w:ascii="Garamond" w:hAnsi="Garamond"/>
                <w:bCs/>
                <w:sz w:val="20"/>
                <w:szCs w:val="20"/>
                <w:lang w:val="en-CA"/>
              </w:rPr>
            </w:pPr>
            <w:r w:rsidRPr="003856DA">
              <w:rPr>
                <w:rFonts w:ascii="Garamond" w:hAnsi="Garamond"/>
                <w:bCs/>
                <w:sz w:val="20"/>
                <w:szCs w:val="20"/>
                <w:lang w:val="en-CA"/>
              </w:rPr>
              <w:t>Compare classification accuracy of OS vs. BIS+OS combinations</w:t>
            </w:r>
          </w:p>
        </w:tc>
        <w:tc>
          <w:tcPr>
            <w:tcW w:w="5935" w:type="dxa"/>
            <w:hideMark/>
          </w:tcPr>
          <w:p w14:paraId="7A698999" w14:textId="77777777" w:rsidR="003856DA" w:rsidRPr="003856DA" w:rsidRDefault="003856DA" w:rsidP="003856DA">
            <w:pPr>
              <w:spacing w:after="120"/>
              <w:jc w:val="both"/>
              <w:rPr>
                <w:rFonts w:ascii="Garamond" w:hAnsi="Garamond"/>
                <w:bCs/>
                <w:sz w:val="20"/>
                <w:szCs w:val="20"/>
                <w:lang w:val="en-CA"/>
              </w:rPr>
            </w:pPr>
            <w:r w:rsidRPr="003856DA">
              <w:rPr>
                <w:rFonts w:ascii="Garamond" w:hAnsi="Garamond"/>
                <w:bCs/>
                <w:sz w:val="20"/>
                <w:szCs w:val="20"/>
                <w:lang w:val="en-CA"/>
              </w:rPr>
              <w:t>Use SII OS and BIS to classify individuals into occupations</w:t>
            </w:r>
          </w:p>
        </w:tc>
      </w:tr>
      <w:tr w:rsidR="003856DA" w:rsidRPr="003856DA" w14:paraId="191BCC54" w14:textId="77777777" w:rsidTr="003856DA">
        <w:trPr>
          <w:trHeight w:val="600"/>
        </w:trPr>
        <w:tc>
          <w:tcPr>
            <w:tcW w:w="2520" w:type="dxa"/>
            <w:tcBorders>
              <w:bottom w:val="nil"/>
            </w:tcBorders>
            <w:hideMark/>
          </w:tcPr>
          <w:p w14:paraId="07204089" w14:textId="77777777" w:rsidR="003856DA" w:rsidRPr="003856DA" w:rsidRDefault="003856DA" w:rsidP="003856DA">
            <w:pPr>
              <w:spacing w:after="120"/>
              <w:jc w:val="both"/>
              <w:rPr>
                <w:rFonts w:ascii="Garamond" w:hAnsi="Garamond"/>
                <w:bCs/>
                <w:sz w:val="20"/>
                <w:szCs w:val="20"/>
                <w:lang w:val="en-CA"/>
              </w:rPr>
            </w:pPr>
            <w:r w:rsidRPr="003856DA">
              <w:rPr>
                <w:rFonts w:ascii="Garamond" w:hAnsi="Garamond"/>
                <w:bCs/>
                <w:sz w:val="20"/>
                <w:szCs w:val="20"/>
                <w:lang w:val="en-CA"/>
              </w:rPr>
              <w:t>Einarsdóttir &amp; Rounds (2009)</w:t>
            </w:r>
          </w:p>
        </w:tc>
        <w:tc>
          <w:tcPr>
            <w:tcW w:w="5135" w:type="dxa"/>
            <w:tcBorders>
              <w:bottom w:val="nil"/>
            </w:tcBorders>
            <w:hideMark/>
          </w:tcPr>
          <w:p w14:paraId="7B58697C" w14:textId="77777777" w:rsidR="003856DA" w:rsidRPr="003856DA" w:rsidRDefault="003856DA" w:rsidP="003856DA">
            <w:pPr>
              <w:spacing w:after="120"/>
              <w:jc w:val="both"/>
              <w:rPr>
                <w:rFonts w:ascii="Garamond" w:hAnsi="Garamond"/>
                <w:bCs/>
                <w:sz w:val="20"/>
                <w:szCs w:val="20"/>
                <w:lang w:val="en-CA"/>
              </w:rPr>
            </w:pPr>
            <w:r w:rsidRPr="003856DA">
              <w:rPr>
                <w:rFonts w:ascii="Garamond" w:hAnsi="Garamond"/>
                <w:bCs/>
                <w:sz w:val="20"/>
                <w:szCs w:val="20"/>
                <w:lang w:val="en-CA"/>
              </w:rPr>
              <w:t>Examine gender-related DIF and its impact on interest scale validity</w:t>
            </w:r>
          </w:p>
        </w:tc>
        <w:tc>
          <w:tcPr>
            <w:tcW w:w="5935" w:type="dxa"/>
            <w:tcBorders>
              <w:bottom w:val="nil"/>
            </w:tcBorders>
            <w:hideMark/>
          </w:tcPr>
          <w:p w14:paraId="09D3B036" w14:textId="77777777" w:rsidR="003856DA" w:rsidRPr="003856DA" w:rsidRDefault="003856DA" w:rsidP="003856DA">
            <w:pPr>
              <w:spacing w:after="120"/>
              <w:jc w:val="both"/>
              <w:rPr>
                <w:rFonts w:ascii="Garamond" w:hAnsi="Garamond"/>
                <w:bCs/>
                <w:sz w:val="20"/>
                <w:szCs w:val="20"/>
                <w:lang w:val="en-CA"/>
              </w:rPr>
            </w:pPr>
            <w:r w:rsidRPr="003856DA">
              <w:rPr>
                <w:rFonts w:ascii="Garamond" w:hAnsi="Garamond"/>
                <w:bCs/>
                <w:sz w:val="20"/>
                <w:szCs w:val="20"/>
                <w:lang w:val="en-CA"/>
              </w:rPr>
              <w:t>Use SII to guide career exploration via GOT and BI scales</w:t>
            </w:r>
          </w:p>
        </w:tc>
      </w:tr>
      <w:tr w:rsidR="003856DA" w:rsidRPr="003856DA" w14:paraId="6BC03429" w14:textId="77777777" w:rsidTr="003856DA">
        <w:trPr>
          <w:trHeight w:val="600"/>
        </w:trPr>
        <w:tc>
          <w:tcPr>
            <w:tcW w:w="2520" w:type="dxa"/>
            <w:tcBorders>
              <w:top w:val="nil"/>
              <w:bottom w:val="nil"/>
            </w:tcBorders>
            <w:hideMark/>
          </w:tcPr>
          <w:p w14:paraId="5A7A7BA5" w14:textId="77777777" w:rsidR="003856DA" w:rsidRPr="003856DA" w:rsidRDefault="003856DA" w:rsidP="003856DA">
            <w:pPr>
              <w:spacing w:after="120"/>
              <w:jc w:val="both"/>
              <w:rPr>
                <w:rFonts w:ascii="Garamond" w:hAnsi="Garamond"/>
                <w:bCs/>
                <w:sz w:val="20"/>
                <w:szCs w:val="20"/>
                <w:lang w:val="en-CA"/>
              </w:rPr>
            </w:pPr>
            <w:r w:rsidRPr="003856DA">
              <w:rPr>
                <w:rFonts w:ascii="Garamond" w:hAnsi="Garamond"/>
                <w:bCs/>
                <w:sz w:val="20"/>
                <w:szCs w:val="20"/>
                <w:lang w:val="en-CA"/>
              </w:rPr>
              <w:t>Flores et al. (2006)</w:t>
            </w:r>
          </w:p>
        </w:tc>
        <w:tc>
          <w:tcPr>
            <w:tcW w:w="5135" w:type="dxa"/>
            <w:tcBorders>
              <w:top w:val="nil"/>
              <w:bottom w:val="nil"/>
            </w:tcBorders>
            <w:hideMark/>
          </w:tcPr>
          <w:p w14:paraId="27E64D92" w14:textId="77777777" w:rsidR="003856DA" w:rsidRPr="003856DA" w:rsidRDefault="003856DA" w:rsidP="003856DA">
            <w:pPr>
              <w:spacing w:after="120"/>
              <w:jc w:val="both"/>
              <w:rPr>
                <w:rFonts w:ascii="Garamond" w:hAnsi="Garamond"/>
                <w:bCs/>
                <w:sz w:val="20"/>
                <w:szCs w:val="20"/>
                <w:lang w:val="en-CA"/>
              </w:rPr>
            </w:pPr>
            <w:r w:rsidRPr="003856DA">
              <w:rPr>
                <w:rFonts w:ascii="Garamond" w:hAnsi="Garamond"/>
                <w:bCs/>
                <w:sz w:val="20"/>
                <w:szCs w:val="20"/>
                <w:lang w:val="en-CA"/>
              </w:rPr>
              <w:t>Evaluate SII and SCI structure and congruence for Mexican-American adolescents</w:t>
            </w:r>
          </w:p>
        </w:tc>
        <w:tc>
          <w:tcPr>
            <w:tcW w:w="5935" w:type="dxa"/>
            <w:tcBorders>
              <w:top w:val="nil"/>
              <w:bottom w:val="nil"/>
            </w:tcBorders>
            <w:hideMark/>
          </w:tcPr>
          <w:p w14:paraId="493AB1B4" w14:textId="77777777" w:rsidR="003856DA" w:rsidRPr="003856DA" w:rsidRDefault="003856DA" w:rsidP="003856DA">
            <w:pPr>
              <w:spacing w:after="120"/>
              <w:jc w:val="both"/>
              <w:rPr>
                <w:rFonts w:ascii="Garamond" w:hAnsi="Garamond"/>
                <w:bCs/>
                <w:sz w:val="20"/>
                <w:szCs w:val="20"/>
                <w:lang w:val="en-CA"/>
              </w:rPr>
            </w:pPr>
            <w:r w:rsidRPr="003856DA">
              <w:rPr>
                <w:rFonts w:ascii="Garamond" w:hAnsi="Garamond"/>
                <w:bCs/>
                <w:sz w:val="20"/>
                <w:szCs w:val="20"/>
                <w:lang w:val="en-CA"/>
              </w:rPr>
              <w:t>Use SII and SCI to support adolescent career development</w:t>
            </w:r>
          </w:p>
        </w:tc>
      </w:tr>
      <w:tr w:rsidR="003856DA" w:rsidRPr="003856DA" w14:paraId="75262404" w14:textId="77777777" w:rsidTr="003856DA">
        <w:trPr>
          <w:trHeight w:val="600"/>
        </w:trPr>
        <w:tc>
          <w:tcPr>
            <w:tcW w:w="2520" w:type="dxa"/>
            <w:tcBorders>
              <w:top w:val="nil"/>
            </w:tcBorders>
            <w:hideMark/>
          </w:tcPr>
          <w:p w14:paraId="479DE6B4" w14:textId="77777777" w:rsidR="003856DA" w:rsidRPr="003856DA" w:rsidRDefault="003856DA" w:rsidP="003856DA">
            <w:pPr>
              <w:spacing w:after="120"/>
              <w:jc w:val="both"/>
              <w:rPr>
                <w:rFonts w:ascii="Garamond" w:hAnsi="Garamond"/>
                <w:bCs/>
                <w:sz w:val="20"/>
                <w:szCs w:val="20"/>
                <w:lang w:val="en-CA"/>
              </w:rPr>
            </w:pPr>
            <w:r w:rsidRPr="003856DA">
              <w:rPr>
                <w:rFonts w:ascii="Garamond" w:hAnsi="Garamond"/>
                <w:bCs/>
                <w:sz w:val="20"/>
                <w:szCs w:val="20"/>
                <w:lang w:val="en-CA"/>
              </w:rPr>
              <w:t>Fouad &amp; Walker (2005)</w:t>
            </w:r>
          </w:p>
        </w:tc>
        <w:tc>
          <w:tcPr>
            <w:tcW w:w="5135" w:type="dxa"/>
            <w:tcBorders>
              <w:top w:val="nil"/>
            </w:tcBorders>
            <w:hideMark/>
          </w:tcPr>
          <w:p w14:paraId="0FA8711E" w14:textId="77777777" w:rsidR="003856DA" w:rsidRPr="003856DA" w:rsidRDefault="003856DA" w:rsidP="003856DA">
            <w:pPr>
              <w:spacing w:after="120"/>
              <w:jc w:val="both"/>
              <w:rPr>
                <w:rFonts w:ascii="Garamond" w:hAnsi="Garamond"/>
                <w:bCs/>
                <w:sz w:val="20"/>
                <w:szCs w:val="20"/>
                <w:lang w:val="en-CA"/>
              </w:rPr>
            </w:pPr>
            <w:r w:rsidRPr="003856DA">
              <w:rPr>
                <w:rFonts w:ascii="Garamond" w:hAnsi="Garamond"/>
                <w:bCs/>
                <w:sz w:val="20"/>
                <w:szCs w:val="20"/>
                <w:lang w:val="en-CA"/>
              </w:rPr>
              <w:t>Investigate DIF across racial/ethnic groups using DBF analysis</w:t>
            </w:r>
          </w:p>
        </w:tc>
        <w:tc>
          <w:tcPr>
            <w:tcW w:w="5935" w:type="dxa"/>
            <w:tcBorders>
              <w:top w:val="nil"/>
            </w:tcBorders>
            <w:hideMark/>
          </w:tcPr>
          <w:p w14:paraId="4C084AB0" w14:textId="77777777" w:rsidR="003856DA" w:rsidRPr="003856DA" w:rsidRDefault="003856DA" w:rsidP="003856DA">
            <w:pPr>
              <w:spacing w:after="120"/>
              <w:jc w:val="both"/>
              <w:rPr>
                <w:rFonts w:ascii="Garamond" w:hAnsi="Garamond"/>
                <w:bCs/>
                <w:sz w:val="20"/>
                <w:szCs w:val="20"/>
                <w:lang w:val="en-CA"/>
              </w:rPr>
            </w:pPr>
            <w:r w:rsidRPr="003856DA">
              <w:rPr>
                <w:rFonts w:ascii="Garamond" w:hAnsi="Garamond"/>
                <w:bCs/>
                <w:sz w:val="20"/>
                <w:szCs w:val="20"/>
                <w:lang w:val="en-CA"/>
              </w:rPr>
              <w:t>Use SII GOTs to inform career development across diverse groups</w:t>
            </w:r>
          </w:p>
        </w:tc>
      </w:tr>
      <w:tr w:rsidR="003856DA" w:rsidRPr="003856DA" w14:paraId="771A97C0" w14:textId="77777777" w:rsidTr="003856DA">
        <w:trPr>
          <w:trHeight w:val="600"/>
        </w:trPr>
        <w:tc>
          <w:tcPr>
            <w:tcW w:w="2520" w:type="dxa"/>
            <w:hideMark/>
          </w:tcPr>
          <w:p w14:paraId="5340A4BD" w14:textId="77777777" w:rsidR="003856DA" w:rsidRPr="003856DA" w:rsidRDefault="003856DA" w:rsidP="003856DA">
            <w:pPr>
              <w:spacing w:after="120"/>
              <w:jc w:val="both"/>
              <w:rPr>
                <w:rFonts w:ascii="Garamond" w:hAnsi="Garamond"/>
                <w:bCs/>
                <w:sz w:val="20"/>
                <w:szCs w:val="20"/>
                <w:lang w:val="en-CA"/>
              </w:rPr>
            </w:pPr>
            <w:r w:rsidRPr="003856DA">
              <w:rPr>
                <w:rFonts w:ascii="Garamond" w:hAnsi="Garamond"/>
                <w:bCs/>
                <w:sz w:val="20"/>
                <w:szCs w:val="20"/>
                <w:lang w:val="en-CA"/>
              </w:rPr>
              <w:t>Gasser et al. (2007)</w:t>
            </w:r>
          </w:p>
        </w:tc>
        <w:tc>
          <w:tcPr>
            <w:tcW w:w="5135" w:type="dxa"/>
            <w:hideMark/>
          </w:tcPr>
          <w:p w14:paraId="71FCC717" w14:textId="77777777" w:rsidR="003856DA" w:rsidRPr="003856DA" w:rsidRDefault="003856DA" w:rsidP="003856DA">
            <w:pPr>
              <w:spacing w:after="120"/>
              <w:jc w:val="both"/>
              <w:rPr>
                <w:rFonts w:ascii="Garamond" w:hAnsi="Garamond"/>
                <w:bCs/>
                <w:sz w:val="20"/>
                <w:szCs w:val="20"/>
                <w:lang w:val="en-CA"/>
              </w:rPr>
            </w:pPr>
            <w:r w:rsidRPr="003856DA">
              <w:rPr>
                <w:rFonts w:ascii="Garamond" w:hAnsi="Garamond"/>
                <w:bCs/>
                <w:sz w:val="20"/>
                <w:szCs w:val="20"/>
                <w:lang w:val="en-CA"/>
              </w:rPr>
              <w:t>Evaluate SII content scales in differentiating among college majors</w:t>
            </w:r>
          </w:p>
        </w:tc>
        <w:tc>
          <w:tcPr>
            <w:tcW w:w="5935" w:type="dxa"/>
            <w:hideMark/>
          </w:tcPr>
          <w:p w14:paraId="096EB4CB" w14:textId="77777777" w:rsidR="003856DA" w:rsidRPr="003856DA" w:rsidRDefault="003856DA" w:rsidP="003856DA">
            <w:pPr>
              <w:spacing w:after="120"/>
              <w:jc w:val="both"/>
              <w:rPr>
                <w:rFonts w:ascii="Garamond" w:hAnsi="Garamond"/>
                <w:bCs/>
                <w:sz w:val="20"/>
                <w:szCs w:val="20"/>
                <w:lang w:val="en-CA"/>
              </w:rPr>
            </w:pPr>
            <w:r w:rsidRPr="003856DA">
              <w:rPr>
                <w:rFonts w:ascii="Garamond" w:hAnsi="Garamond"/>
                <w:bCs/>
                <w:sz w:val="20"/>
                <w:szCs w:val="20"/>
                <w:lang w:val="en-CA"/>
              </w:rPr>
              <w:t>Use SII to guide major selection based on interest profile</w:t>
            </w:r>
          </w:p>
        </w:tc>
      </w:tr>
      <w:tr w:rsidR="003856DA" w:rsidRPr="003856DA" w14:paraId="7B8BE256" w14:textId="77777777" w:rsidTr="003856DA">
        <w:trPr>
          <w:trHeight w:val="600"/>
        </w:trPr>
        <w:tc>
          <w:tcPr>
            <w:tcW w:w="2520" w:type="dxa"/>
            <w:hideMark/>
          </w:tcPr>
          <w:p w14:paraId="523C8FF1" w14:textId="77777777" w:rsidR="003856DA" w:rsidRPr="003856DA" w:rsidRDefault="003856DA" w:rsidP="003856DA">
            <w:pPr>
              <w:spacing w:after="120"/>
              <w:jc w:val="both"/>
              <w:rPr>
                <w:rFonts w:ascii="Garamond" w:hAnsi="Garamond"/>
                <w:bCs/>
                <w:sz w:val="20"/>
                <w:szCs w:val="20"/>
                <w:lang w:val="en-CA"/>
              </w:rPr>
            </w:pPr>
            <w:r w:rsidRPr="003856DA">
              <w:rPr>
                <w:rFonts w:ascii="Garamond" w:hAnsi="Garamond"/>
                <w:bCs/>
                <w:sz w:val="20"/>
                <w:szCs w:val="20"/>
                <w:lang w:val="en-CA"/>
              </w:rPr>
              <w:lastRenderedPageBreak/>
              <w:t>Hansen &amp; Dik (2005)</w:t>
            </w:r>
          </w:p>
        </w:tc>
        <w:tc>
          <w:tcPr>
            <w:tcW w:w="5135" w:type="dxa"/>
            <w:hideMark/>
          </w:tcPr>
          <w:p w14:paraId="786AFFAB" w14:textId="77777777" w:rsidR="003856DA" w:rsidRPr="003856DA" w:rsidRDefault="003856DA" w:rsidP="003856DA">
            <w:pPr>
              <w:spacing w:after="120"/>
              <w:jc w:val="both"/>
              <w:rPr>
                <w:rFonts w:ascii="Garamond" w:hAnsi="Garamond"/>
                <w:bCs/>
                <w:sz w:val="20"/>
                <w:szCs w:val="20"/>
                <w:lang w:val="en-CA"/>
              </w:rPr>
            </w:pPr>
            <w:r w:rsidRPr="003856DA">
              <w:rPr>
                <w:rFonts w:ascii="Garamond" w:hAnsi="Garamond"/>
                <w:bCs/>
                <w:sz w:val="20"/>
                <w:szCs w:val="20"/>
                <w:lang w:val="en-CA"/>
              </w:rPr>
              <w:t>Assess long-term predictive and concurrent validity of SII OS scores</w:t>
            </w:r>
          </w:p>
        </w:tc>
        <w:tc>
          <w:tcPr>
            <w:tcW w:w="5935" w:type="dxa"/>
            <w:hideMark/>
          </w:tcPr>
          <w:p w14:paraId="3BDF2B46" w14:textId="77777777" w:rsidR="003856DA" w:rsidRPr="003856DA" w:rsidRDefault="003856DA" w:rsidP="003856DA">
            <w:pPr>
              <w:spacing w:after="120"/>
              <w:jc w:val="both"/>
              <w:rPr>
                <w:rFonts w:ascii="Garamond" w:hAnsi="Garamond"/>
                <w:bCs/>
                <w:sz w:val="20"/>
                <w:szCs w:val="20"/>
                <w:lang w:val="en-CA"/>
              </w:rPr>
            </w:pPr>
            <w:r w:rsidRPr="003856DA">
              <w:rPr>
                <w:rFonts w:ascii="Garamond" w:hAnsi="Garamond"/>
                <w:bCs/>
                <w:sz w:val="20"/>
                <w:szCs w:val="20"/>
                <w:lang w:val="en-CA"/>
              </w:rPr>
              <w:t>Use SII OS to predict occupational match over 8 and 12 years</w:t>
            </w:r>
          </w:p>
        </w:tc>
      </w:tr>
      <w:tr w:rsidR="003856DA" w:rsidRPr="003856DA" w14:paraId="4DAE57E0" w14:textId="77777777" w:rsidTr="003856DA">
        <w:trPr>
          <w:trHeight w:val="600"/>
        </w:trPr>
        <w:tc>
          <w:tcPr>
            <w:tcW w:w="2520" w:type="dxa"/>
            <w:hideMark/>
          </w:tcPr>
          <w:p w14:paraId="4076E924" w14:textId="77777777" w:rsidR="003856DA" w:rsidRPr="003856DA" w:rsidRDefault="003856DA" w:rsidP="003856DA">
            <w:pPr>
              <w:spacing w:after="120"/>
              <w:jc w:val="both"/>
              <w:rPr>
                <w:rFonts w:ascii="Garamond" w:hAnsi="Garamond"/>
                <w:bCs/>
                <w:sz w:val="20"/>
                <w:szCs w:val="20"/>
                <w:lang w:val="en-CA"/>
              </w:rPr>
            </w:pPr>
            <w:r w:rsidRPr="003856DA">
              <w:rPr>
                <w:rFonts w:ascii="Garamond" w:hAnsi="Garamond"/>
                <w:bCs/>
                <w:sz w:val="20"/>
                <w:szCs w:val="20"/>
                <w:lang w:val="en-CA"/>
              </w:rPr>
              <w:t>Hansen &amp; Lee (2007)</w:t>
            </w:r>
          </w:p>
        </w:tc>
        <w:tc>
          <w:tcPr>
            <w:tcW w:w="5135" w:type="dxa"/>
            <w:hideMark/>
          </w:tcPr>
          <w:p w14:paraId="2CDAD322" w14:textId="77777777" w:rsidR="003856DA" w:rsidRPr="003856DA" w:rsidRDefault="003856DA" w:rsidP="003856DA">
            <w:pPr>
              <w:spacing w:after="120"/>
              <w:jc w:val="both"/>
              <w:rPr>
                <w:rFonts w:ascii="Garamond" w:hAnsi="Garamond"/>
                <w:bCs/>
                <w:sz w:val="20"/>
                <w:szCs w:val="20"/>
                <w:lang w:val="en-CA"/>
              </w:rPr>
            </w:pPr>
            <w:r w:rsidRPr="003856DA">
              <w:rPr>
                <w:rFonts w:ascii="Garamond" w:hAnsi="Garamond"/>
                <w:bCs/>
                <w:sz w:val="20"/>
                <w:szCs w:val="20"/>
                <w:lang w:val="en-CA"/>
              </w:rPr>
              <w:t>Examine concurrent validity of SII OS scores for Asian and White college students</w:t>
            </w:r>
          </w:p>
        </w:tc>
        <w:tc>
          <w:tcPr>
            <w:tcW w:w="5935" w:type="dxa"/>
            <w:hideMark/>
          </w:tcPr>
          <w:p w14:paraId="61E29D03" w14:textId="77777777" w:rsidR="003856DA" w:rsidRPr="003856DA" w:rsidRDefault="003856DA" w:rsidP="003856DA">
            <w:pPr>
              <w:spacing w:after="120"/>
              <w:jc w:val="both"/>
              <w:rPr>
                <w:rFonts w:ascii="Garamond" w:hAnsi="Garamond"/>
                <w:bCs/>
                <w:sz w:val="20"/>
                <w:szCs w:val="20"/>
                <w:lang w:val="en-CA"/>
              </w:rPr>
            </w:pPr>
            <w:r w:rsidRPr="003856DA">
              <w:rPr>
                <w:rFonts w:ascii="Garamond" w:hAnsi="Garamond"/>
                <w:bCs/>
                <w:sz w:val="20"/>
                <w:szCs w:val="20"/>
                <w:lang w:val="en-CA"/>
              </w:rPr>
              <w:t>Predict students' declared majors using OS scores</w:t>
            </w:r>
          </w:p>
        </w:tc>
      </w:tr>
      <w:tr w:rsidR="003856DA" w:rsidRPr="003856DA" w14:paraId="61511798" w14:textId="77777777" w:rsidTr="003856DA">
        <w:trPr>
          <w:trHeight w:val="600"/>
        </w:trPr>
        <w:tc>
          <w:tcPr>
            <w:tcW w:w="2520" w:type="dxa"/>
            <w:hideMark/>
          </w:tcPr>
          <w:p w14:paraId="346E19C5" w14:textId="77777777" w:rsidR="003856DA" w:rsidRPr="003856DA" w:rsidRDefault="003856DA" w:rsidP="003856DA">
            <w:pPr>
              <w:spacing w:after="120"/>
              <w:jc w:val="both"/>
              <w:rPr>
                <w:rFonts w:ascii="Garamond" w:hAnsi="Garamond"/>
                <w:bCs/>
                <w:sz w:val="20"/>
                <w:szCs w:val="20"/>
                <w:lang w:val="en-CA"/>
              </w:rPr>
            </w:pPr>
            <w:r w:rsidRPr="003856DA">
              <w:rPr>
                <w:rFonts w:ascii="Garamond" w:hAnsi="Garamond"/>
                <w:bCs/>
                <w:sz w:val="20"/>
                <w:szCs w:val="20"/>
                <w:lang w:val="en-CA"/>
              </w:rPr>
              <w:t>Harris &amp; Rottinghaus (2017)</w:t>
            </w:r>
          </w:p>
        </w:tc>
        <w:tc>
          <w:tcPr>
            <w:tcW w:w="5135" w:type="dxa"/>
            <w:hideMark/>
          </w:tcPr>
          <w:p w14:paraId="7EDF7BE5" w14:textId="77777777" w:rsidR="003856DA" w:rsidRPr="003856DA" w:rsidRDefault="003856DA" w:rsidP="003856DA">
            <w:pPr>
              <w:spacing w:after="120"/>
              <w:jc w:val="both"/>
              <w:rPr>
                <w:rFonts w:ascii="Garamond" w:hAnsi="Garamond"/>
                <w:bCs/>
                <w:sz w:val="20"/>
                <w:szCs w:val="20"/>
                <w:lang w:val="en-CA"/>
              </w:rPr>
            </w:pPr>
            <w:r w:rsidRPr="003856DA">
              <w:rPr>
                <w:rFonts w:ascii="Garamond" w:hAnsi="Garamond"/>
                <w:bCs/>
                <w:sz w:val="20"/>
                <w:szCs w:val="20"/>
                <w:lang w:val="en-CA"/>
              </w:rPr>
              <w:t>Explore predictive validity of GOTs and PSSs on subjective well-being</w:t>
            </w:r>
          </w:p>
        </w:tc>
        <w:tc>
          <w:tcPr>
            <w:tcW w:w="5935" w:type="dxa"/>
            <w:hideMark/>
          </w:tcPr>
          <w:p w14:paraId="5EA0FE85" w14:textId="77777777" w:rsidR="003856DA" w:rsidRPr="003856DA" w:rsidRDefault="003856DA" w:rsidP="003856DA">
            <w:pPr>
              <w:spacing w:after="120"/>
              <w:jc w:val="both"/>
              <w:rPr>
                <w:rFonts w:ascii="Garamond" w:hAnsi="Garamond"/>
                <w:bCs/>
                <w:sz w:val="20"/>
                <w:szCs w:val="20"/>
                <w:lang w:val="en-CA"/>
              </w:rPr>
            </w:pPr>
            <w:r w:rsidRPr="003856DA">
              <w:rPr>
                <w:rFonts w:ascii="Garamond" w:hAnsi="Garamond"/>
                <w:bCs/>
                <w:sz w:val="20"/>
                <w:szCs w:val="20"/>
                <w:lang w:val="en-CA"/>
              </w:rPr>
              <w:t>Use SII to assess interests and styles to predict well-being outcomes</w:t>
            </w:r>
          </w:p>
        </w:tc>
      </w:tr>
      <w:tr w:rsidR="003856DA" w:rsidRPr="003856DA" w14:paraId="0FFDC904" w14:textId="77777777" w:rsidTr="003856DA">
        <w:trPr>
          <w:trHeight w:val="600"/>
        </w:trPr>
        <w:tc>
          <w:tcPr>
            <w:tcW w:w="2520" w:type="dxa"/>
            <w:hideMark/>
          </w:tcPr>
          <w:p w14:paraId="5396C823" w14:textId="77777777" w:rsidR="003856DA" w:rsidRPr="003856DA" w:rsidRDefault="003856DA" w:rsidP="003856DA">
            <w:pPr>
              <w:spacing w:after="120"/>
              <w:jc w:val="both"/>
              <w:rPr>
                <w:rFonts w:ascii="Garamond" w:hAnsi="Garamond"/>
                <w:bCs/>
                <w:sz w:val="20"/>
                <w:szCs w:val="20"/>
                <w:lang w:val="en-CA"/>
              </w:rPr>
            </w:pPr>
            <w:r w:rsidRPr="003856DA">
              <w:rPr>
                <w:rFonts w:ascii="Garamond" w:hAnsi="Garamond"/>
                <w:bCs/>
                <w:sz w:val="20"/>
                <w:szCs w:val="20"/>
                <w:lang w:val="en-CA"/>
              </w:rPr>
              <w:t>Kantamneni (2014)</w:t>
            </w:r>
          </w:p>
        </w:tc>
        <w:tc>
          <w:tcPr>
            <w:tcW w:w="5135" w:type="dxa"/>
            <w:hideMark/>
          </w:tcPr>
          <w:p w14:paraId="5A88CDD1" w14:textId="77777777" w:rsidR="003856DA" w:rsidRPr="003856DA" w:rsidRDefault="003856DA" w:rsidP="003856DA">
            <w:pPr>
              <w:spacing w:after="120"/>
              <w:jc w:val="both"/>
              <w:rPr>
                <w:rFonts w:ascii="Garamond" w:hAnsi="Garamond"/>
                <w:bCs/>
                <w:sz w:val="20"/>
                <w:szCs w:val="20"/>
                <w:lang w:val="en-CA"/>
              </w:rPr>
            </w:pPr>
            <w:r w:rsidRPr="003856DA">
              <w:rPr>
                <w:rFonts w:ascii="Garamond" w:hAnsi="Garamond"/>
                <w:bCs/>
                <w:sz w:val="20"/>
                <w:szCs w:val="20"/>
                <w:lang w:val="en-CA"/>
              </w:rPr>
              <w:t>Evaluate structural fit of RIASEC models across three ethnic groups</w:t>
            </w:r>
          </w:p>
        </w:tc>
        <w:tc>
          <w:tcPr>
            <w:tcW w:w="5935" w:type="dxa"/>
            <w:hideMark/>
          </w:tcPr>
          <w:p w14:paraId="4D4CA25E" w14:textId="77777777" w:rsidR="003856DA" w:rsidRPr="003856DA" w:rsidRDefault="003856DA" w:rsidP="003856DA">
            <w:pPr>
              <w:spacing w:after="120"/>
              <w:jc w:val="both"/>
              <w:rPr>
                <w:rFonts w:ascii="Garamond" w:hAnsi="Garamond"/>
                <w:bCs/>
                <w:sz w:val="20"/>
                <w:szCs w:val="20"/>
                <w:lang w:val="en-CA"/>
              </w:rPr>
            </w:pPr>
            <w:r w:rsidRPr="003856DA">
              <w:rPr>
                <w:rFonts w:ascii="Garamond" w:hAnsi="Garamond"/>
                <w:bCs/>
                <w:sz w:val="20"/>
                <w:szCs w:val="20"/>
                <w:lang w:val="en-CA"/>
              </w:rPr>
              <w:t>Use SII to inform career exploration across underrepresented groups</w:t>
            </w:r>
          </w:p>
        </w:tc>
      </w:tr>
      <w:tr w:rsidR="006A137E" w:rsidRPr="003856DA" w14:paraId="754955B3" w14:textId="77777777" w:rsidTr="003856DA">
        <w:trPr>
          <w:trHeight w:val="600"/>
        </w:trPr>
        <w:tc>
          <w:tcPr>
            <w:tcW w:w="2520" w:type="dxa"/>
          </w:tcPr>
          <w:p w14:paraId="6EB25473" w14:textId="2B1F9855" w:rsidR="006A137E" w:rsidRPr="003856DA" w:rsidRDefault="006A137E" w:rsidP="006A137E">
            <w:pPr>
              <w:spacing w:after="120"/>
              <w:jc w:val="both"/>
              <w:rPr>
                <w:rFonts w:ascii="Garamond" w:hAnsi="Garamond"/>
                <w:bCs/>
                <w:sz w:val="20"/>
                <w:szCs w:val="20"/>
                <w:lang w:val="en-CA"/>
              </w:rPr>
            </w:pPr>
            <w:r w:rsidRPr="003856DA">
              <w:rPr>
                <w:rFonts w:ascii="Garamond" w:hAnsi="Garamond"/>
                <w:bCs/>
                <w:sz w:val="20"/>
                <w:szCs w:val="20"/>
                <w:lang w:val="en-CA"/>
              </w:rPr>
              <w:t>Kantamneni &amp; Fouad (2011)</w:t>
            </w:r>
          </w:p>
        </w:tc>
        <w:tc>
          <w:tcPr>
            <w:tcW w:w="5135" w:type="dxa"/>
          </w:tcPr>
          <w:p w14:paraId="4A5EA77A" w14:textId="7623CCB1" w:rsidR="006A137E" w:rsidRPr="003856DA" w:rsidRDefault="006A137E" w:rsidP="006A137E">
            <w:pPr>
              <w:spacing w:after="120"/>
              <w:jc w:val="both"/>
              <w:rPr>
                <w:rFonts w:ascii="Garamond" w:hAnsi="Garamond"/>
                <w:bCs/>
                <w:sz w:val="20"/>
                <w:szCs w:val="20"/>
                <w:lang w:val="en-CA"/>
              </w:rPr>
            </w:pPr>
            <w:r w:rsidRPr="003856DA">
              <w:rPr>
                <w:rFonts w:ascii="Garamond" w:hAnsi="Garamond"/>
                <w:bCs/>
                <w:sz w:val="20"/>
                <w:szCs w:val="20"/>
                <w:lang w:val="en-CA"/>
              </w:rPr>
              <w:t>Assess RIASEC model fit across race and gender using SII</w:t>
            </w:r>
          </w:p>
        </w:tc>
        <w:tc>
          <w:tcPr>
            <w:tcW w:w="5935" w:type="dxa"/>
          </w:tcPr>
          <w:p w14:paraId="2C4BDC26" w14:textId="56709E02" w:rsidR="006A137E" w:rsidRPr="003856DA" w:rsidRDefault="006A137E" w:rsidP="006A137E">
            <w:pPr>
              <w:spacing w:after="120"/>
              <w:jc w:val="both"/>
              <w:rPr>
                <w:rFonts w:ascii="Garamond" w:hAnsi="Garamond"/>
                <w:bCs/>
                <w:sz w:val="20"/>
                <w:szCs w:val="20"/>
                <w:lang w:val="en-CA"/>
              </w:rPr>
            </w:pPr>
            <w:r w:rsidRPr="003856DA">
              <w:rPr>
                <w:rFonts w:ascii="Garamond" w:hAnsi="Garamond"/>
                <w:bCs/>
                <w:sz w:val="20"/>
                <w:szCs w:val="20"/>
                <w:lang w:val="en-CA"/>
              </w:rPr>
              <w:t>Use SII to assess vocational interests across racial and gender groups</w:t>
            </w:r>
          </w:p>
        </w:tc>
      </w:tr>
      <w:tr w:rsidR="003856DA" w:rsidRPr="003856DA" w14:paraId="6AC01173" w14:textId="77777777" w:rsidTr="003856DA">
        <w:trPr>
          <w:trHeight w:val="600"/>
        </w:trPr>
        <w:tc>
          <w:tcPr>
            <w:tcW w:w="2520" w:type="dxa"/>
            <w:hideMark/>
          </w:tcPr>
          <w:p w14:paraId="16156244" w14:textId="77777777" w:rsidR="003856DA" w:rsidRPr="003856DA" w:rsidRDefault="003856DA" w:rsidP="003856DA">
            <w:pPr>
              <w:spacing w:after="120"/>
              <w:jc w:val="both"/>
              <w:rPr>
                <w:rFonts w:ascii="Garamond" w:hAnsi="Garamond"/>
                <w:bCs/>
                <w:sz w:val="20"/>
                <w:szCs w:val="20"/>
                <w:lang w:val="en-CA"/>
              </w:rPr>
            </w:pPr>
            <w:r w:rsidRPr="003856DA">
              <w:rPr>
                <w:rFonts w:ascii="Garamond" w:hAnsi="Garamond"/>
                <w:bCs/>
                <w:sz w:val="20"/>
                <w:szCs w:val="20"/>
                <w:lang w:val="en-CA"/>
              </w:rPr>
              <w:t>Morris (2016)</w:t>
            </w:r>
          </w:p>
        </w:tc>
        <w:tc>
          <w:tcPr>
            <w:tcW w:w="5135" w:type="dxa"/>
            <w:hideMark/>
          </w:tcPr>
          <w:p w14:paraId="4D678CF0" w14:textId="77777777" w:rsidR="003856DA" w:rsidRPr="003856DA" w:rsidRDefault="003856DA" w:rsidP="003856DA">
            <w:pPr>
              <w:spacing w:after="120"/>
              <w:jc w:val="both"/>
              <w:rPr>
                <w:rFonts w:ascii="Garamond" w:hAnsi="Garamond"/>
                <w:bCs/>
                <w:sz w:val="20"/>
                <w:szCs w:val="20"/>
                <w:lang w:val="en-CA"/>
              </w:rPr>
            </w:pPr>
            <w:r w:rsidRPr="003856DA">
              <w:rPr>
                <w:rFonts w:ascii="Garamond" w:hAnsi="Garamond"/>
                <w:bCs/>
                <w:sz w:val="20"/>
                <w:szCs w:val="20"/>
                <w:lang w:val="en-CA"/>
              </w:rPr>
              <w:t>Examine demographic effects on vocational interest scores using large U.S. dataset</w:t>
            </w:r>
          </w:p>
        </w:tc>
        <w:tc>
          <w:tcPr>
            <w:tcW w:w="5935" w:type="dxa"/>
            <w:hideMark/>
          </w:tcPr>
          <w:p w14:paraId="1896C2E9" w14:textId="77777777" w:rsidR="003856DA" w:rsidRPr="003856DA" w:rsidRDefault="003856DA" w:rsidP="003856DA">
            <w:pPr>
              <w:spacing w:after="120"/>
              <w:jc w:val="both"/>
              <w:rPr>
                <w:rFonts w:ascii="Garamond" w:hAnsi="Garamond"/>
                <w:bCs/>
                <w:sz w:val="20"/>
                <w:szCs w:val="20"/>
                <w:lang w:val="en-CA"/>
              </w:rPr>
            </w:pPr>
            <w:r w:rsidRPr="003856DA">
              <w:rPr>
                <w:rFonts w:ascii="Garamond" w:hAnsi="Garamond"/>
                <w:bCs/>
                <w:sz w:val="20"/>
                <w:szCs w:val="20"/>
                <w:lang w:val="en-CA"/>
              </w:rPr>
              <w:t>Use SII scores to inform educational and occupational choices</w:t>
            </w:r>
          </w:p>
        </w:tc>
      </w:tr>
      <w:tr w:rsidR="003856DA" w:rsidRPr="003856DA" w14:paraId="3E51992B" w14:textId="77777777" w:rsidTr="003856DA">
        <w:trPr>
          <w:trHeight w:val="600"/>
        </w:trPr>
        <w:tc>
          <w:tcPr>
            <w:tcW w:w="2520" w:type="dxa"/>
            <w:hideMark/>
          </w:tcPr>
          <w:p w14:paraId="656A5A71" w14:textId="77777777" w:rsidR="003856DA" w:rsidRPr="003856DA" w:rsidRDefault="003856DA" w:rsidP="003856DA">
            <w:pPr>
              <w:spacing w:after="120"/>
              <w:jc w:val="both"/>
              <w:rPr>
                <w:rFonts w:ascii="Garamond" w:hAnsi="Garamond"/>
                <w:bCs/>
                <w:sz w:val="20"/>
                <w:szCs w:val="20"/>
                <w:lang w:val="en-CA"/>
              </w:rPr>
            </w:pPr>
            <w:r w:rsidRPr="003856DA">
              <w:rPr>
                <w:rFonts w:ascii="Garamond" w:hAnsi="Garamond"/>
                <w:bCs/>
                <w:sz w:val="20"/>
                <w:szCs w:val="20"/>
                <w:lang w:val="en-CA"/>
              </w:rPr>
              <w:t>Pa</w:t>
            </w:r>
            <w:r w:rsidRPr="003856DA">
              <w:rPr>
                <w:rFonts w:ascii="Times New Roman" w:hAnsi="Times New Roman" w:cs="Times New Roman"/>
                <w:bCs/>
                <w:sz w:val="20"/>
                <w:szCs w:val="20"/>
                <w:lang w:val="en-CA"/>
              </w:rPr>
              <w:t>̈</w:t>
            </w:r>
            <w:r w:rsidRPr="003856DA">
              <w:rPr>
                <w:rFonts w:ascii="Garamond" w:hAnsi="Garamond"/>
                <w:bCs/>
                <w:sz w:val="20"/>
                <w:szCs w:val="20"/>
                <w:lang w:val="en-CA"/>
              </w:rPr>
              <w:t>ssler et al. (2014)</w:t>
            </w:r>
          </w:p>
        </w:tc>
        <w:tc>
          <w:tcPr>
            <w:tcW w:w="5135" w:type="dxa"/>
            <w:hideMark/>
          </w:tcPr>
          <w:p w14:paraId="3C1C8FF2" w14:textId="77777777" w:rsidR="003856DA" w:rsidRPr="003856DA" w:rsidRDefault="003856DA" w:rsidP="003856DA">
            <w:pPr>
              <w:spacing w:after="120"/>
              <w:jc w:val="both"/>
              <w:rPr>
                <w:rFonts w:ascii="Garamond" w:hAnsi="Garamond"/>
                <w:bCs/>
                <w:sz w:val="20"/>
                <w:szCs w:val="20"/>
                <w:lang w:val="en-CA"/>
              </w:rPr>
            </w:pPr>
            <w:r w:rsidRPr="003856DA">
              <w:rPr>
                <w:rFonts w:ascii="Garamond" w:hAnsi="Garamond"/>
                <w:bCs/>
                <w:sz w:val="20"/>
                <w:szCs w:val="20"/>
                <w:lang w:val="en-CA"/>
              </w:rPr>
              <w:t>Investigate gender-related differential prediction and item functioning in interest inventories</w:t>
            </w:r>
          </w:p>
        </w:tc>
        <w:tc>
          <w:tcPr>
            <w:tcW w:w="5935" w:type="dxa"/>
            <w:hideMark/>
          </w:tcPr>
          <w:p w14:paraId="2ECB0A29" w14:textId="77777777" w:rsidR="003856DA" w:rsidRPr="003856DA" w:rsidRDefault="003856DA" w:rsidP="003856DA">
            <w:pPr>
              <w:spacing w:after="120"/>
              <w:jc w:val="both"/>
              <w:rPr>
                <w:rFonts w:ascii="Garamond" w:hAnsi="Garamond"/>
                <w:bCs/>
                <w:sz w:val="20"/>
                <w:szCs w:val="20"/>
                <w:lang w:val="en-CA"/>
              </w:rPr>
            </w:pPr>
            <w:r w:rsidRPr="003856DA">
              <w:rPr>
                <w:rFonts w:ascii="Garamond" w:hAnsi="Garamond"/>
                <w:bCs/>
                <w:sz w:val="20"/>
                <w:szCs w:val="20"/>
                <w:lang w:val="en-CA"/>
              </w:rPr>
              <w:t>Use GIST-R scores to predict person–environment fit and satisfaction</w:t>
            </w:r>
          </w:p>
        </w:tc>
      </w:tr>
      <w:tr w:rsidR="003856DA" w:rsidRPr="003856DA" w14:paraId="50AF33EA" w14:textId="77777777" w:rsidTr="003856DA">
        <w:trPr>
          <w:trHeight w:val="600"/>
        </w:trPr>
        <w:tc>
          <w:tcPr>
            <w:tcW w:w="2520" w:type="dxa"/>
            <w:hideMark/>
          </w:tcPr>
          <w:p w14:paraId="5B6DCB07" w14:textId="77777777" w:rsidR="003856DA" w:rsidRPr="003856DA" w:rsidRDefault="003856DA" w:rsidP="003856DA">
            <w:pPr>
              <w:spacing w:after="120"/>
              <w:jc w:val="both"/>
              <w:rPr>
                <w:rFonts w:ascii="Garamond" w:hAnsi="Garamond"/>
                <w:bCs/>
                <w:sz w:val="20"/>
                <w:szCs w:val="20"/>
                <w:lang w:val="en-CA"/>
              </w:rPr>
            </w:pPr>
            <w:r w:rsidRPr="003856DA">
              <w:rPr>
                <w:rFonts w:ascii="Garamond" w:hAnsi="Garamond"/>
                <w:bCs/>
                <w:sz w:val="20"/>
                <w:szCs w:val="20"/>
                <w:lang w:val="en-CA"/>
              </w:rPr>
              <w:t>Pirutinsky (2013)</w:t>
            </w:r>
          </w:p>
        </w:tc>
        <w:tc>
          <w:tcPr>
            <w:tcW w:w="5135" w:type="dxa"/>
            <w:hideMark/>
          </w:tcPr>
          <w:p w14:paraId="1E12C587" w14:textId="77777777" w:rsidR="003856DA" w:rsidRPr="003856DA" w:rsidRDefault="003856DA" w:rsidP="003856DA">
            <w:pPr>
              <w:spacing w:after="120"/>
              <w:jc w:val="both"/>
              <w:rPr>
                <w:rFonts w:ascii="Garamond" w:hAnsi="Garamond"/>
                <w:bCs/>
                <w:sz w:val="20"/>
                <w:szCs w:val="20"/>
                <w:lang w:val="en-CA"/>
              </w:rPr>
            </w:pPr>
            <w:r w:rsidRPr="003856DA">
              <w:rPr>
                <w:rFonts w:ascii="Garamond" w:hAnsi="Garamond"/>
                <w:bCs/>
                <w:sz w:val="20"/>
                <w:szCs w:val="20"/>
                <w:lang w:val="en-CA"/>
              </w:rPr>
              <w:t>Evaluate reliability and structural validity of SII among ultraorthodox Jewish men</w:t>
            </w:r>
          </w:p>
        </w:tc>
        <w:tc>
          <w:tcPr>
            <w:tcW w:w="5935" w:type="dxa"/>
            <w:hideMark/>
          </w:tcPr>
          <w:p w14:paraId="51309ACB" w14:textId="77777777" w:rsidR="003856DA" w:rsidRPr="003856DA" w:rsidRDefault="003856DA" w:rsidP="003856DA">
            <w:pPr>
              <w:spacing w:after="120"/>
              <w:jc w:val="both"/>
              <w:rPr>
                <w:rFonts w:ascii="Garamond" w:hAnsi="Garamond"/>
                <w:bCs/>
                <w:sz w:val="20"/>
                <w:szCs w:val="20"/>
                <w:lang w:val="en-CA"/>
              </w:rPr>
            </w:pPr>
            <w:r w:rsidRPr="003856DA">
              <w:rPr>
                <w:rFonts w:ascii="Garamond" w:hAnsi="Garamond"/>
                <w:bCs/>
                <w:sz w:val="20"/>
                <w:szCs w:val="20"/>
                <w:lang w:val="en-CA"/>
              </w:rPr>
              <w:t>Use SII to assess vocational interests for religious-to-secular transition</w:t>
            </w:r>
          </w:p>
        </w:tc>
      </w:tr>
      <w:tr w:rsidR="003856DA" w:rsidRPr="003856DA" w14:paraId="07B4D115" w14:textId="77777777" w:rsidTr="003856DA">
        <w:trPr>
          <w:trHeight w:val="870"/>
        </w:trPr>
        <w:tc>
          <w:tcPr>
            <w:tcW w:w="2520" w:type="dxa"/>
            <w:hideMark/>
          </w:tcPr>
          <w:p w14:paraId="6C676D80" w14:textId="77777777" w:rsidR="003856DA" w:rsidRPr="003856DA" w:rsidRDefault="003856DA" w:rsidP="003856DA">
            <w:pPr>
              <w:spacing w:after="120"/>
              <w:jc w:val="both"/>
              <w:rPr>
                <w:rFonts w:ascii="Garamond" w:hAnsi="Garamond"/>
                <w:bCs/>
                <w:sz w:val="20"/>
                <w:szCs w:val="20"/>
                <w:lang w:val="en-CA"/>
              </w:rPr>
            </w:pPr>
            <w:r w:rsidRPr="003856DA">
              <w:rPr>
                <w:rFonts w:ascii="Garamond" w:hAnsi="Garamond"/>
                <w:bCs/>
                <w:sz w:val="20"/>
                <w:szCs w:val="20"/>
                <w:lang w:val="en-CA"/>
              </w:rPr>
              <w:t>Ralston et al. (2004)</w:t>
            </w:r>
          </w:p>
        </w:tc>
        <w:tc>
          <w:tcPr>
            <w:tcW w:w="5135" w:type="dxa"/>
            <w:hideMark/>
          </w:tcPr>
          <w:p w14:paraId="56E0AB01" w14:textId="77777777" w:rsidR="003856DA" w:rsidRPr="003856DA" w:rsidRDefault="003856DA" w:rsidP="003856DA">
            <w:pPr>
              <w:spacing w:after="120"/>
              <w:jc w:val="both"/>
              <w:rPr>
                <w:rFonts w:ascii="Garamond" w:hAnsi="Garamond"/>
                <w:bCs/>
                <w:sz w:val="20"/>
                <w:szCs w:val="20"/>
                <w:lang w:val="en-CA"/>
              </w:rPr>
            </w:pPr>
            <w:r w:rsidRPr="003856DA">
              <w:rPr>
                <w:rFonts w:ascii="Garamond" w:hAnsi="Garamond"/>
                <w:bCs/>
                <w:sz w:val="20"/>
                <w:szCs w:val="20"/>
                <w:lang w:val="en-CA"/>
              </w:rPr>
              <w:t>Evaluate the incremental validity of the BISs over the GOTs in predicting individuals' major fields of study,</w:t>
            </w:r>
          </w:p>
        </w:tc>
        <w:tc>
          <w:tcPr>
            <w:tcW w:w="5935" w:type="dxa"/>
            <w:hideMark/>
          </w:tcPr>
          <w:p w14:paraId="040D2799" w14:textId="77777777" w:rsidR="003856DA" w:rsidRPr="003856DA" w:rsidRDefault="003856DA" w:rsidP="003856DA">
            <w:pPr>
              <w:spacing w:after="120"/>
              <w:jc w:val="both"/>
              <w:rPr>
                <w:rFonts w:ascii="Garamond" w:hAnsi="Garamond"/>
                <w:bCs/>
                <w:sz w:val="20"/>
                <w:szCs w:val="20"/>
                <w:lang w:val="en-CA"/>
              </w:rPr>
            </w:pPr>
            <w:r w:rsidRPr="003856DA">
              <w:rPr>
                <w:rFonts w:ascii="Garamond" w:hAnsi="Garamond"/>
                <w:bCs/>
                <w:sz w:val="20"/>
                <w:szCs w:val="20"/>
                <w:lang w:val="en-CA"/>
              </w:rPr>
              <w:t>Use BISs and GOTs to assess vocational interests for predicting and differentiating among individuals' major fields of study and educational training.</w:t>
            </w:r>
          </w:p>
        </w:tc>
      </w:tr>
      <w:tr w:rsidR="003856DA" w:rsidRPr="003856DA" w14:paraId="56814DAA" w14:textId="77777777" w:rsidTr="003856DA">
        <w:trPr>
          <w:trHeight w:val="600"/>
        </w:trPr>
        <w:tc>
          <w:tcPr>
            <w:tcW w:w="2520" w:type="dxa"/>
            <w:hideMark/>
          </w:tcPr>
          <w:p w14:paraId="3EC5C475" w14:textId="77777777" w:rsidR="003856DA" w:rsidRPr="003856DA" w:rsidRDefault="003856DA" w:rsidP="003856DA">
            <w:pPr>
              <w:spacing w:after="120"/>
              <w:jc w:val="both"/>
              <w:rPr>
                <w:rFonts w:ascii="Garamond" w:hAnsi="Garamond"/>
                <w:bCs/>
                <w:sz w:val="20"/>
                <w:szCs w:val="20"/>
                <w:lang w:val="en-CA"/>
              </w:rPr>
            </w:pPr>
            <w:r w:rsidRPr="003856DA">
              <w:rPr>
                <w:rFonts w:ascii="Garamond" w:hAnsi="Garamond"/>
                <w:bCs/>
                <w:sz w:val="20"/>
                <w:szCs w:val="20"/>
                <w:lang w:val="en-CA"/>
              </w:rPr>
              <w:t>Tak (2004)</w:t>
            </w:r>
          </w:p>
        </w:tc>
        <w:tc>
          <w:tcPr>
            <w:tcW w:w="5135" w:type="dxa"/>
            <w:hideMark/>
          </w:tcPr>
          <w:p w14:paraId="440E8E53" w14:textId="77777777" w:rsidR="003856DA" w:rsidRPr="003856DA" w:rsidRDefault="003856DA" w:rsidP="003856DA">
            <w:pPr>
              <w:spacing w:after="120"/>
              <w:jc w:val="both"/>
              <w:rPr>
                <w:rFonts w:ascii="Garamond" w:hAnsi="Garamond"/>
                <w:bCs/>
                <w:sz w:val="20"/>
                <w:szCs w:val="20"/>
                <w:lang w:val="en-CA"/>
              </w:rPr>
            </w:pPr>
            <w:r w:rsidRPr="003856DA">
              <w:rPr>
                <w:rFonts w:ascii="Garamond" w:hAnsi="Garamond"/>
                <w:bCs/>
                <w:sz w:val="20"/>
                <w:szCs w:val="20"/>
                <w:lang w:val="en-CA"/>
              </w:rPr>
              <w:t>Evaluate the structure of vocational interests using K-SII with Korean students</w:t>
            </w:r>
          </w:p>
        </w:tc>
        <w:tc>
          <w:tcPr>
            <w:tcW w:w="5935" w:type="dxa"/>
            <w:hideMark/>
          </w:tcPr>
          <w:p w14:paraId="7D76ED7A" w14:textId="77777777" w:rsidR="003856DA" w:rsidRPr="003856DA" w:rsidRDefault="003856DA" w:rsidP="003856DA">
            <w:pPr>
              <w:spacing w:after="120"/>
              <w:jc w:val="both"/>
              <w:rPr>
                <w:rFonts w:ascii="Garamond" w:hAnsi="Garamond"/>
                <w:bCs/>
                <w:sz w:val="20"/>
                <w:szCs w:val="20"/>
                <w:lang w:val="en-CA"/>
              </w:rPr>
            </w:pPr>
            <w:r w:rsidRPr="003856DA">
              <w:rPr>
                <w:rFonts w:ascii="Garamond" w:hAnsi="Garamond"/>
                <w:bCs/>
                <w:sz w:val="20"/>
                <w:szCs w:val="20"/>
                <w:lang w:val="en-CA"/>
              </w:rPr>
              <w:t>Use K-SII scores to assess RIASEC-aligned vocational interests for Korean career guidance</w:t>
            </w:r>
          </w:p>
        </w:tc>
      </w:tr>
      <w:tr w:rsidR="003856DA" w:rsidRPr="003856DA" w14:paraId="7572E650" w14:textId="77777777" w:rsidTr="003856DA">
        <w:trPr>
          <w:trHeight w:val="600"/>
        </w:trPr>
        <w:tc>
          <w:tcPr>
            <w:tcW w:w="2520" w:type="dxa"/>
            <w:hideMark/>
          </w:tcPr>
          <w:p w14:paraId="398D65A0" w14:textId="77777777" w:rsidR="003856DA" w:rsidRPr="003856DA" w:rsidRDefault="003856DA" w:rsidP="003856DA">
            <w:pPr>
              <w:spacing w:after="120"/>
              <w:jc w:val="both"/>
              <w:rPr>
                <w:rFonts w:ascii="Garamond" w:hAnsi="Garamond"/>
                <w:bCs/>
                <w:sz w:val="20"/>
                <w:szCs w:val="20"/>
                <w:lang w:val="en-CA"/>
              </w:rPr>
            </w:pPr>
            <w:r w:rsidRPr="003856DA">
              <w:rPr>
                <w:rFonts w:ascii="Garamond" w:hAnsi="Garamond"/>
                <w:bCs/>
                <w:sz w:val="20"/>
                <w:szCs w:val="20"/>
                <w:lang w:val="en-CA"/>
              </w:rPr>
              <w:t>Yang et al. (2018)</w:t>
            </w:r>
          </w:p>
        </w:tc>
        <w:tc>
          <w:tcPr>
            <w:tcW w:w="5135" w:type="dxa"/>
            <w:hideMark/>
          </w:tcPr>
          <w:p w14:paraId="00807010" w14:textId="77777777" w:rsidR="003856DA" w:rsidRPr="003856DA" w:rsidRDefault="003856DA" w:rsidP="003856DA">
            <w:pPr>
              <w:spacing w:after="120"/>
              <w:jc w:val="both"/>
              <w:rPr>
                <w:rFonts w:ascii="Garamond" w:hAnsi="Garamond"/>
                <w:bCs/>
                <w:sz w:val="20"/>
                <w:szCs w:val="20"/>
                <w:lang w:val="en-CA"/>
              </w:rPr>
            </w:pPr>
            <w:r w:rsidRPr="003856DA">
              <w:rPr>
                <w:rFonts w:ascii="Garamond" w:hAnsi="Garamond"/>
                <w:bCs/>
                <w:sz w:val="20"/>
                <w:szCs w:val="20"/>
                <w:lang w:val="en-CA"/>
              </w:rPr>
              <w:t>Translate and validate a Chinese version of the SII</w:t>
            </w:r>
          </w:p>
        </w:tc>
        <w:tc>
          <w:tcPr>
            <w:tcW w:w="5935" w:type="dxa"/>
            <w:hideMark/>
          </w:tcPr>
          <w:p w14:paraId="5A57CD7C" w14:textId="77777777" w:rsidR="003856DA" w:rsidRPr="003856DA" w:rsidRDefault="003856DA" w:rsidP="003856DA">
            <w:pPr>
              <w:spacing w:after="120"/>
              <w:jc w:val="both"/>
              <w:rPr>
                <w:rFonts w:ascii="Garamond" w:hAnsi="Garamond"/>
                <w:bCs/>
                <w:sz w:val="20"/>
                <w:szCs w:val="20"/>
                <w:lang w:val="en-CA"/>
              </w:rPr>
            </w:pPr>
            <w:r w:rsidRPr="003856DA">
              <w:rPr>
                <w:rFonts w:ascii="Garamond" w:hAnsi="Garamond"/>
                <w:bCs/>
                <w:sz w:val="20"/>
                <w:szCs w:val="20"/>
                <w:lang w:val="en-CA"/>
              </w:rPr>
              <w:t>Use Chinese SII to assess vocational interests for counseling</w:t>
            </w:r>
          </w:p>
        </w:tc>
      </w:tr>
    </w:tbl>
    <w:p w14:paraId="1C1D63C8" w14:textId="77777777" w:rsidR="000113BB" w:rsidRDefault="000113BB" w:rsidP="000113BB">
      <w:pPr>
        <w:spacing w:after="120"/>
        <w:jc w:val="both"/>
        <w:rPr>
          <w:rFonts w:ascii="Garamond" w:hAnsi="Garamond"/>
          <w:bCs/>
        </w:rPr>
      </w:pPr>
    </w:p>
    <w:p w14:paraId="7177DEB1" w14:textId="77777777" w:rsidR="000113BB" w:rsidRDefault="000113BB" w:rsidP="000113BB">
      <w:pPr>
        <w:spacing w:after="120"/>
        <w:jc w:val="both"/>
        <w:rPr>
          <w:rFonts w:ascii="Garamond" w:hAnsi="Garamond"/>
          <w:bCs/>
        </w:rPr>
      </w:pPr>
    </w:p>
    <w:p w14:paraId="0EB39EFE" w14:textId="77777777" w:rsidR="000113BB" w:rsidRDefault="000113BB" w:rsidP="000113BB">
      <w:pPr>
        <w:spacing w:after="120"/>
        <w:jc w:val="both"/>
        <w:rPr>
          <w:rFonts w:ascii="Garamond" w:hAnsi="Garamond"/>
          <w:bCs/>
        </w:rPr>
      </w:pPr>
    </w:p>
    <w:p w14:paraId="1BE72FF9" w14:textId="77777777" w:rsidR="000113BB" w:rsidRDefault="000113BB" w:rsidP="000113BB">
      <w:pPr>
        <w:spacing w:after="120"/>
        <w:jc w:val="both"/>
        <w:rPr>
          <w:rFonts w:ascii="Garamond" w:hAnsi="Garamond"/>
          <w:bCs/>
        </w:rPr>
        <w:sectPr w:rsidR="000113BB" w:rsidSect="00EC4BFA">
          <w:headerReference w:type="default" r:id="rId14"/>
          <w:headerReference w:type="first" r:id="rId15"/>
          <w:footerReference w:type="first" r:id="rId16"/>
          <w:pgSz w:w="15840" w:h="12226" w:orient="landscape"/>
          <w:pgMar w:top="1152" w:right="1152" w:bottom="1152" w:left="1152" w:header="720" w:footer="720" w:gutter="0"/>
          <w:cols w:space="720"/>
          <w:titlePg/>
          <w:docGrid w:linePitch="360"/>
        </w:sectPr>
      </w:pPr>
    </w:p>
    <w:p w14:paraId="68BE9EB6" w14:textId="71930756" w:rsidR="009062D1" w:rsidRPr="009062D1" w:rsidRDefault="009062D1" w:rsidP="000113BB">
      <w:pPr>
        <w:spacing w:after="120"/>
        <w:jc w:val="both"/>
        <w:rPr>
          <w:rFonts w:ascii="Garamond" w:hAnsi="Garamond"/>
          <w:bCs/>
          <w:lang w:val="en-CA"/>
        </w:rPr>
      </w:pPr>
      <w:r w:rsidRPr="009062D1">
        <w:rPr>
          <w:rFonts w:ascii="Garamond" w:hAnsi="Garamond"/>
          <w:bCs/>
          <w:lang w:val="en-CA"/>
        </w:rPr>
        <w:lastRenderedPageBreak/>
        <w:t xml:space="preserve">all of them are based on the Holland’s RIASEC model. Fewer studies explored content and response process as validity evidence (n=1, n=1), with no study exploring consequences as validity evidence. </w:t>
      </w:r>
    </w:p>
    <w:p w14:paraId="73DB9E9B" w14:textId="77777777" w:rsidR="009062D1" w:rsidRPr="009062D1" w:rsidRDefault="009062D1" w:rsidP="009062D1">
      <w:pPr>
        <w:spacing w:after="120"/>
        <w:ind w:firstLine="360"/>
        <w:jc w:val="both"/>
        <w:rPr>
          <w:rFonts w:ascii="Garamond" w:hAnsi="Garamond"/>
          <w:bCs/>
          <w:lang w:val="en-CA"/>
        </w:rPr>
      </w:pPr>
      <w:r w:rsidRPr="009062D1">
        <w:rPr>
          <w:rFonts w:ascii="Garamond" w:hAnsi="Garamond"/>
          <w:bCs/>
        </w:rPr>
        <w:t xml:space="preserve">The intended use of the test across studies was to help individuals identify careers or educational paths aligned with their interest profiles, matched with the test purpose when SII designed. The study purposes varied but broadly aimed to examine the validity and fairness of interest assessments. These included: evaluating structural and predictive validity (e.g., Dik &amp; Hansen, 2004; Hansen &amp; Dik, 2005); exploring group differences and fairness across gender, ethnicity, and culture (e.g., Fouad &amp; Walker, 2005; Kantamneni, 2014); comparing versions or formats of the SII (e.g., Bailey et al., 2008); adapting the instrument cross-culturally (e.g., Tak, 2004; Yang et al., 2018); and testing for bias, differential prediction, or DIF (e.g., Pässler et al., 2014; Einarsdóttir &amp; Rounds, 2009). Some also explored added value of specific scales like BIS or OS (e.g., Ralston et al., 2004; Gasser et al., 2007), while a few focused on long-term predictive evidence or underrepresented groups (e.g., Pirutinsky, 2013; Flores et al., 2006). </w:t>
      </w:r>
    </w:p>
    <w:p w14:paraId="4B608F21" w14:textId="77777777" w:rsidR="009062D1" w:rsidRPr="009062D1" w:rsidRDefault="009062D1" w:rsidP="009062D1">
      <w:pPr>
        <w:spacing w:after="120"/>
        <w:ind w:firstLine="360"/>
        <w:jc w:val="both"/>
        <w:rPr>
          <w:rFonts w:ascii="Garamond" w:hAnsi="Garamond"/>
          <w:bCs/>
          <w:lang w:val="en-CA"/>
        </w:rPr>
      </w:pPr>
      <w:r w:rsidRPr="009062D1">
        <w:rPr>
          <w:rFonts w:ascii="Garamond" w:hAnsi="Garamond"/>
          <w:bCs/>
        </w:rPr>
        <w:t xml:space="preserve">The study purposes varied but aligned closely with the types of validity evidence provided: several studies examined internal structure through methods such as factor analysis; many others focused on relations to other variables, including convergent validity (e.g., between similar scales or test forms), discriminant validity (e.g., between unrelated domains), and criterion-related validity (e.g., congruence with occupational choice or satisfaction); and some studies explored content validity during translation or test adaptation processes. A subset of studies also addressed test fairness through empirical analyses of differential item functioning (DIF) or differential prediction, qualifying as evidence for consequences. </w:t>
      </w:r>
    </w:p>
    <w:p w14:paraId="31F187A5" w14:textId="77777777" w:rsidR="00CC226D" w:rsidRDefault="00CC226D" w:rsidP="009D6ABE">
      <w:pPr>
        <w:spacing w:after="120"/>
        <w:jc w:val="both"/>
        <w:rPr>
          <w:rFonts w:ascii="Garamond" w:hAnsi="Garamond"/>
          <w:bCs/>
        </w:rPr>
      </w:pPr>
    </w:p>
    <w:p w14:paraId="6A5515D2" w14:textId="5835235F" w:rsidR="009D6ABE" w:rsidRPr="001C64BC" w:rsidRDefault="009062D1" w:rsidP="009D6ABE">
      <w:pPr>
        <w:spacing w:after="120"/>
        <w:rPr>
          <w:rFonts w:ascii="Garamond" w:hAnsi="Garamond"/>
          <w:bCs/>
          <w:color w:val="891D1D"/>
          <w:sz w:val="20"/>
          <w:szCs w:val="20"/>
        </w:rPr>
      </w:pPr>
      <w:r>
        <w:rPr>
          <w:rFonts w:ascii="Garamond" w:eastAsia="Calibri" w:hAnsi="Garamond" w:cs="Arial"/>
          <w:b/>
          <w:bCs/>
          <w:color w:val="891D1D"/>
          <w:sz w:val="28"/>
          <w:szCs w:val="28"/>
        </w:rPr>
        <w:t>Discussion</w:t>
      </w:r>
    </w:p>
    <w:p w14:paraId="679A605F" w14:textId="32C58442" w:rsidR="009062D1" w:rsidRPr="009062D1" w:rsidRDefault="009062D1" w:rsidP="009062D1">
      <w:pPr>
        <w:spacing w:after="120"/>
        <w:ind w:firstLine="360"/>
        <w:jc w:val="both"/>
        <w:rPr>
          <w:rFonts w:ascii="Garamond" w:hAnsi="Garamond"/>
          <w:bCs/>
        </w:rPr>
      </w:pPr>
      <w:r w:rsidRPr="009062D1">
        <w:rPr>
          <w:rFonts w:ascii="Garamond" w:hAnsi="Garamond"/>
          <w:bCs/>
        </w:rPr>
        <w:t xml:space="preserve">For ease of collecting participants, it is not surprising that most studies gathered samples from volunteers or existing databases. </w:t>
      </w:r>
      <w:r w:rsidR="002313CB" w:rsidRPr="002313CB">
        <w:rPr>
          <w:rFonts w:ascii="Garamond" w:hAnsi="Garamond"/>
          <w:bCs/>
        </w:rPr>
        <w:t>Despite being mostly used for career counseling</w:t>
      </w:r>
      <w:r w:rsidRPr="009062D1">
        <w:rPr>
          <w:rFonts w:ascii="Garamond" w:hAnsi="Garamond" w:hint="eastAsia"/>
          <w:bCs/>
        </w:rPr>
        <w:t xml:space="preserve">, the SII did not limit its </w:t>
      </w:r>
      <w:r w:rsidRPr="009062D1">
        <w:rPr>
          <w:rFonts w:ascii="Garamond" w:hAnsi="Garamond"/>
          <w:bCs/>
        </w:rPr>
        <w:t>participants</w:t>
      </w:r>
      <w:r w:rsidRPr="009062D1">
        <w:rPr>
          <w:rFonts w:ascii="Garamond" w:hAnsi="Garamond" w:hint="eastAsia"/>
          <w:bCs/>
        </w:rPr>
        <w:t xml:space="preserve"> </w:t>
      </w:r>
      <w:r w:rsidRPr="009062D1">
        <w:rPr>
          <w:rFonts w:ascii="Garamond" w:hAnsi="Garamond"/>
          <w:bCs/>
        </w:rPr>
        <w:t>to</w:t>
      </w:r>
      <w:r w:rsidRPr="009062D1">
        <w:rPr>
          <w:rFonts w:ascii="Garamond" w:hAnsi="Garamond" w:hint="eastAsia"/>
          <w:bCs/>
        </w:rPr>
        <w:t xml:space="preserve"> students or employees, thus it can be used both in colleges and industries. However, the context differences among these validation studies may bring potential bias when interpreting the</w:t>
      </w:r>
      <w:r w:rsidRPr="009062D1">
        <w:rPr>
          <w:rFonts w:ascii="Garamond" w:hAnsi="Garamond"/>
          <w:bCs/>
        </w:rPr>
        <w:t>se</w:t>
      </w:r>
      <w:r w:rsidRPr="009062D1">
        <w:rPr>
          <w:rFonts w:ascii="Garamond" w:hAnsi="Garamond" w:hint="eastAsia"/>
          <w:bCs/>
        </w:rPr>
        <w:t xml:space="preserve"> results.</w:t>
      </w:r>
      <w:r w:rsidRPr="009062D1">
        <w:rPr>
          <w:rFonts w:ascii="Garamond" w:hAnsi="Garamond"/>
          <w:bCs/>
        </w:rPr>
        <w:t xml:space="preserve"> It is also necessary to check the sample characteristics when referring to these previous studies. </w:t>
      </w:r>
    </w:p>
    <w:p w14:paraId="2870032A" w14:textId="77777777" w:rsidR="009062D1" w:rsidRPr="009062D1" w:rsidRDefault="009062D1" w:rsidP="009062D1">
      <w:pPr>
        <w:spacing w:after="120"/>
        <w:ind w:firstLine="360"/>
        <w:jc w:val="both"/>
        <w:rPr>
          <w:rFonts w:ascii="Garamond" w:hAnsi="Garamond"/>
          <w:bCs/>
        </w:rPr>
      </w:pPr>
      <w:r w:rsidRPr="009062D1">
        <w:rPr>
          <w:rFonts w:ascii="Garamond" w:hAnsi="Garamond"/>
          <w:bCs/>
        </w:rPr>
        <w:t xml:space="preserve">A significant gap identified in the review is the lack of explicit validation frameworks in many studies. Only a few studies briefly referenced the definition of validity or </w:t>
      </w:r>
      <w:r w:rsidRPr="009062D1">
        <w:rPr>
          <w:rFonts w:ascii="Garamond" w:hAnsi="Garamond"/>
          <w:bCs/>
          <w:i/>
        </w:rPr>
        <w:t>the Standards</w:t>
      </w:r>
      <w:r w:rsidRPr="009062D1">
        <w:rPr>
          <w:rFonts w:ascii="Garamond" w:hAnsi="Garamond"/>
          <w:bCs/>
        </w:rPr>
        <w:t xml:space="preserve"> for Educational and Psychological Testing, without elaborating on their validation plans. Most studies relied on common validation methods, such as correlation coefficients for convergent and discriminant validity, without providing a comprehensive framework. This lack of clarity may impact the robustness and generalizability of the reported validity evidence, indicating a need for more rigorous and transparent validation approaches in future research.</w:t>
      </w:r>
    </w:p>
    <w:p w14:paraId="6C363640" w14:textId="70927ED7" w:rsidR="009062D1" w:rsidRPr="009062D1" w:rsidRDefault="009062D1" w:rsidP="009062D1">
      <w:pPr>
        <w:spacing w:after="120"/>
        <w:ind w:firstLine="360"/>
        <w:jc w:val="both"/>
        <w:rPr>
          <w:rFonts w:ascii="Garamond" w:hAnsi="Garamond"/>
          <w:bCs/>
        </w:rPr>
      </w:pPr>
      <w:r w:rsidRPr="009062D1">
        <w:rPr>
          <w:rFonts w:ascii="Garamond" w:hAnsi="Garamond"/>
          <w:bCs/>
        </w:rPr>
        <w:t xml:space="preserve">The findings indicated that there was </w:t>
      </w:r>
      <w:r w:rsidR="002313CB">
        <w:rPr>
          <w:rFonts w:ascii="Garamond" w:hAnsi="Garamond"/>
          <w:bCs/>
        </w:rPr>
        <w:t>a variety of</w:t>
      </w:r>
      <w:r w:rsidRPr="009062D1">
        <w:rPr>
          <w:rFonts w:ascii="Garamond" w:hAnsi="Garamond"/>
          <w:bCs/>
        </w:rPr>
        <w:t xml:space="preserve"> validity evidence in previous literature, but the majority type of them is still relations to other variables, more precisely, test-criterion relationships. Although predictive validity is essential for interest inventories (Hansen, 2019), it is still expected to see more validity evidence from sources. For instance, it is common to use interest inventories in various contexts, for different ethnic and cultural groups, and even in some high-stake</w:t>
      </w:r>
      <w:r w:rsidR="002313CB">
        <w:rPr>
          <w:rFonts w:ascii="Garamond" w:hAnsi="Garamond"/>
          <w:bCs/>
        </w:rPr>
        <w:t>s</w:t>
      </w:r>
      <w:r w:rsidRPr="009062D1">
        <w:rPr>
          <w:rFonts w:ascii="Garamond" w:hAnsi="Garamond"/>
          <w:bCs/>
        </w:rPr>
        <w:t xml:space="preserve"> environments (Bailey et al., 2008), thus it is also expected to see validity evidence from test consequences. Some studies (Fouad &amp; Walker, 2005; Einarsdóttir &amp; Rounds, 2009; Pässler et al., 2014) highlighted how item-level bias or gender-based prediction differences could lead to unfair interpretations or restricted career guidance. However, evidence in this category remains limited overall, and few studies empirically evaluated the broader educational or occupational impacts of using interest inventories in applied settings.</w:t>
      </w:r>
    </w:p>
    <w:p w14:paraId="047BFDB1" w14:textId="3CAD30C6" w:rsidR="009D6ABE" w:rsidRDefault="009062D1" w:rsidP="009062D1">
      <w:pPr>
        <w:spacing w:after="120"/>
        <w:ind w:firstLine="360"/>
        <w:jc w:val="both"/>
        <w:rPr>
          <w:rFonts w:ascii="Garamond" w:hAnsi="Garamond"/>
          <w:bCs/>
        </w:rPr>
      </w:pPr>
      <w:r w:rsidRPr="009062D1">
        <w:rPr>
          <w:rFonts w:ascii="Garamond" w:hAnsi="Garamond"/>
          <w:bCs/>
        </w:rPr>
        <w:lastRenderedPageBreak/>
        <w:t xml:space="preserve">There is also a lack </w:t>
      </w:r>
      <w:r w:rsidR="002313CB">
        <w:rPr>
          <w:rFonts w:ascii="Garamond" w:hAnsi="Garamond"/>
          <w:bCs/>
        </w:rPr>
        <w:t>of</w:t>
      </w:r>
      <w:r w:rsidRPr="009062D1">
        <w:rPr>
          <w:rFonts w:ascii="Garamond" w:hAnsi="Garamond"/>
          <w:bCs/>
        </w:rPr>
        <w:t xml:space="preserve"> providing response process as the source of evidence. One possible solution is to explore whether different test formats might influence participants’ response process and response style. Although the Strong Interest Inventory (SII) is traditionally administered in a normative format, it shares key features with forced-choice (FC) assessments—particularly its emphasis on within-person, rank-ordered profiles. As Bartram (1996) notes, FC formats inherently produce ipsative data, which control for socially desirable responding by forcing trade-offs among equally attractive options. While the SII uses Likert-style ratings, its scoring approach (e.g., highlighting dominant interests relative to others within the same profile) mirrors the interpretive logic of ipsative formats. This suggests an opportunity to adapt or simulate FC designs within the SII framework to explore response process validity. For example, presenting SII items in a block or paired comparison format could suppress uniform response styles and elicit more nuanced trade-offs, providing richer insights into how individuals prioritize interests under constrained choices. Such a redesign would allow researchers to observe not only </w:t>
      </w:r>
      <w:r w:rsidRPr="009062D1">
        <w:rPr>
          <w:rFonts w:ascii="Garamond" w:hAnsi="Garamond"/>
          <w:bCs/>
          <w:iCs/>
        </w:rPr>
        <w:t>what</w:t>
      </w:r>
      <w:r w:rsidRPr="009062D1">
        <w:rPr>
          <w:rFonts w:ascii="Garamond" w:hAnsi="Garamond"/>
          <w:bCs/>
        </w:rPr>
        <w:t xml:space="preserve"> interests are endorsed but </w:t>
      </w:r>
      <w:r w:rsidRPr="009062D1">
        <w:rPr>
          <w:rFonts w:ascii="Garamond" w:hAnsi="Garamond"/>
          <w:bCs/>
          <w:iCs/>
        </w:rPr>
        <w:t>how</w:t>
      </w:r>
      <w:r w:rsidRPr="009062D1">
        <w:rPr>
          <w:rFonts w:ascii="Garamond" w:hAnsi="Garamond"/>
          <w:bCs/>
        </w:rPr>
        <w:t xml:space="preserve"> respondents navigate competing options—offering empirical data on the decision-making processes underlying interest expression.</w:t>
      </w:r>
    </w:p>
    <w:p w14:paraId="5646F9CE" w14:textId="77777777" w:rsidR="009062D1" w:rsidRPr="009D6ABE" w:rsidRDefault="009062D1" w:rsidP="009062D1">
      <w:pPr>
        <w:spacing w:after="120"/>
        <w:ind w:firstLine="360"/>
        <w:jc w:val="both"/>
        <w:rPr>
          <w:rFonts w:ascii="Garamond" w:hAnsi="Garamond"/>
          <w:bCs/>
        </w:rPr>
      </w:pPr>
    </w:p>
    <w:p w14:paraId="31D42C18" w14:textId="7C5E05D7" w:rsidR="009062D1" w:rsidRPr="001C64BC" w:rsidRDefault="009062D1" w:rsidP="009062D1">
      <w:pPr>
        <w:spacing w:after="120"/>
        <w:rPr>
          <w:rFonts w:ascii="Garamond" w:hAnsi="Garamond"/>
          <w:bCs/>
          <w:color w:val="891D1D"/>
          <w:sz w:val="20"/>
          <w:szCs w:val="20"/>
        </w:rPr>
      </w:pPr>
      <w:r>
        <w:rPr>
          <w:rFonts w:ascii="Garamond" w:eastAsia="Calibri" w:hAnsi="Garamond" w:cs="Arial"/>
          <w:b/>
          <w:bCs/>
          <w:color w:val="891D1D"/>
          <w:sz w:val="28"/>
          <w:szCs w:val="28"/>
        </w:rPr>
        <w:t>Conclusion</w:t>
      </w:r>
    </w:p>
    <w:p w14:paraId="1FA9DE94" w14:textId="3FF2026D" w:rsidR="009062D1" w:rsidRDefault="009062D1" w:rsidP="009062D1">
      <w:pPr>
        <w:spacing w:after="120"/>
        <w:ind w:firstLine="360"/>
        <w:rPr>
          <w:rFonts w:ascii="Garamond" w:hAnsi="Garamond"/>
          <w:bCs/>
        </w:rPr>
      </w:pPr>
      <w:r w:rsidRPr="009062D1">
        <w:rPr>
          <w:rFonts w:ascii="Garamond" w:hAnsi="Garamond"/>
          <w:bCs/>
        </w:rPr>
        <w:t xml:space="preserve">This study aimed to achieve three main objectives: 1) analyze the sample characteristics of the SII in recent publications, 2) review the validity theories adopted by these studies, and 3) compile the validity evidence reported. Results indicated that most samples are taken from volunteer college students or employed adults, but without clarifying why </w:t>
      </w:r>
      <w:r w:rsidR="002313CB">
        <w:rPr>
          <w:rFonts w:ascii="Garamond" w:hAnsi="Garamond"/>
          <w:bCs/>
        </w:rPr>
        <w:t xml:space="preserve">the </w:t>
      </w:r>
      <w:r w:rsidRPr="009062D1">
        <w:rPr>
          <w:rFonts w:ascii="Garamond" w:hAnsi="Garamond"/>
          <w:bCs/>
        </w:rPr>
        <w:t>SII</w:t>
      </w:r>
      <w:r w:rsidR="002313CB">
        <w:rPr>
          <w:rFonts w:ascii="Garamond" w:hAnsi="Garamond"/>
          <w:bCs/>
        </w:rPr>
        <w:t xml:space="preserve"> was used</w:t>
      </w:r>
      <w:r w:rsidRPr="009062D1">
        <w:rPr>
          <w:rFonts w:ascii="Garamond" w:hAnsi="Garamond"/>
          <w:bCs/>
        </w:rPr>
        <w:t xml:space="preserve"> in these contexts. A notable gap identified is the lack of explicit validation frameworks. It is also needed to provide more various sources for validity evidence. The findings provide a comprehensive understanding of the current state of SII validation research. </w:t>
      </w:r>
    </w:p>
    <w:p w14:paraId="16A8C0E8" w14:textId="20F98682" w:rsidR="009062D1" w:rsidRPr="009062D1" w:rsidRDefault="009062D1" w:rsidP="009062D1">
      <w:pPr>
        <w:spacing w:after="120"/>
        <w:ind w:firstLine="360"/>
        <w:rPr>
          <w:rFonts w:ascii="Garamond" w:hAnsi="Garamond"/>
          <w:bCs/>
        </w:rPr>
      </w:pPr>
      <w:r w:rsidRPr="009062D1">
        <w:rPr>
          <w:rFonts w:ascii="Garamond" w:hAnsi="Garamond"/>
          <w:bCs/>
        </w:rPr>
        <w:t>Given the widespread use of interest inventories across various contexts and demographic groups, future research should aim for more comprehensive and transparent validation approaches.</w:t>
      </w:r>
      <w:r w:rsidRPr="009062D1">
        <w:rPr>
          <w:rFonts w:ascii="Garamond" w:hAnsi="Garamond" w:hint="eastAsia"/>
          <w:bCs/>
        </w:rPr>
        <w:t xml:space="preserve"> For future validation studies, a solid validation framework is necessary for research design. Researchers should also collect more sources for validity evidence.</w:t>
      </w:r>
      <w:r w:rsidRPr="009062D1">
        <w:rPr>
          <w:rFonts w:ascii="Garamond" w:hAnsi="Garamond"/>
          <w:bCs/>
        </w:rPr>
        <w:t xml:space="preserve"> By addressing these gaps, the SII can continue to be a reliable and versatile tool for career counseling and other applications.</w:t>
      </w:r>
    </w:p>
    <w:bookmarkEnd w:id="1"/>
    <w:p w14:paraId="671416BF" w14:textId="77777777" w:rsidR="004D655C" w:rsidRDefault="004D655C" w:rsidP="00615F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val="0"/>
        <w:overflowPunct w:val="0"/>
        <w:autoSpaceDE w:val="0"/>
        <w:autoSpaceDN w:val="0"/>
        <w:adjustRightInd w:val="0"/>
        <w:rPr>
          <w:rFonts w:ascii="Garamond" w:hAnsi="Garamond"/>
          <w:b/>
          <w:iCs/>
          <w:color w:val="000000" w:themeColor="text1"/>
        </w:rPr>
      </w:pPr>
    </w:p>
    <w:p w14:paraId="58210416" w14:textId="3D1D99CD" w:rsidR="00D74FA0" w:rsidRPr="00EF3D5B" w:rsidRDefault="00D74FA0" w:rsidP="00615F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val="0"/>
        <w:overflowPunct w:val="0"/>
        <w:autoSpaceDE w:val="0"/>
        <w:autoSpaceDN w:val="0"/>
        <w:adjustRightInd w:val="0"/>
        <w:rPr>
          <w:rFonts w:ascii="Garamond" w:hAnsi="Garamond"/>
          <w:bCs/>
          <w:iCs/>
          <w:color w:val="000000" w:themeColor="text1"/>
        </w:rPr>
      </w:pPr>
      <w:r w:rsidRPr="008D4287">
        <w:rPr>
          <w:rFonts w:ascii="Garamond" w:hAnsi="Garamond"/>
          <w:b/>
          <w:iCs/>
          <w:color w:val="000000" w:themeColor="text1"/>
        </w:rPr>
        <w:t>Received:</w:t>
      </w:r>
      <w:r w:rsidRPr="008D4287">
        <w:rPr>
          <w:rFonts w:ascii="Garamond" w:hAnsi="Garamond"/>
          <w:bCs/>
          <w:iCs/>
          <w:color w:val="000000" w:themeColor="text1"/>
        </w:rPr>
        <w:t xml:space="preserve"> </w:t>
      </w:r>
      <w:r w:rsidR="00040968" w:rsidRPr="008D4287">
        <w:rPr>
          <w:rFonts w:ascii="Garamond" w:hAnsi="Garamond"/>
          <w:bCs/>
          <w:iCs/>
          <w:color w:val="000000" w:themeColor="text1"/>
        </w:rPr>
        <w:t>1</w:t>
      </w:r>
      <w:r w:rsidR="004D655C" w:rsidRPr="008D4287">
        <w:rPr>
          <w:rFonts w:ascii="Garamond" w:hAnsi="Garamond"/>
          <w:bCs/>
          <w:iCs/>
          <w:color w:val="000000" w:themeColor="text1"/>
        </w:rPr>
        <w:t>0</w:t>
      </w:r>
      <w:r w:rsidRPr="008D4287">
        <w:rPr>
          <w:rFonts w:ascii="Garamond" w:hAnsi="Garamond"/>
          <w:bCs/>
          <w:iCs/>
          <w:color w:val="000000" w:themeColor="text1"/>
        </w:rPr>
        <w:t>/</w:t>
      </w:r>
      <w:r w:rsidR="00A35FEE" w:rsidRPr="008D4287">
        <w:rPr>
          <w:rFonts w:ascii="Garamond" w:hAnsi="Garamond"/>
          <w:bCs/>
          <w:iCs/>
          <w:color w:val="000000" w:themeColor="text1"/>
        </w:rPr>
        <w:t>9</w:t>
      </w:r>
      <w:r w:rsidRPr="008D4287">
        <w:rPr>
          <w:rFonts w:ascii="Garamond" w:hAnsi="Garamond"/>
          <w:bCs/>
          <w:iCs/>
          <w:color w:val="000000" w:themeColor="text1"/>
        </w:rPr>
        <w:t>/202</w:t>
      </w:r>
      <w:r w:rsidR="00A35FEE" w:rsidRPr="008D4287">
        <w:rPr>
          <w:rFonts w:ascii="Garamond" w:hAnsi="Garamond"/>
          <w:bCs/>
          <w:iCs/>
          <w:color w:val="000000" w:themeColor="text1"/>
        </w:rPr>
        <w:t>4</w:t>
      </w:r>
      <w:r w:rsidRPr="008D4287">
        <w:rPr>
          <w:rFonts w:ascii="Garamond" w:hAnsi="Garamond"/>
          <w:bCs/>
          <w:iCs/>
          <w:color w:val="000000" w:themeColor="text1"/>
        </w:rPr>
        <w:t xml:space="preserve">. </w:t>
      </w:r>
      <w:r w:rsidRPr="008D4287">
        <w:rPr>
          <w:rFonts w:ascii="Garamond" w:hAnsi="Garamond"/>
          <w:b/>
          <w:iCs/>
          <w:color w:val="000000" w:themeColor="text1"/>
        </w:rPr>
        <w:t>Accepted:</w:t>
      </w:r>
      <w:r w:rsidRPr="008D4287">
        <w:rPr>
          <w:rFonts w:ascii="Garamond" w:hAnsi="Garamond"/>
          <w:bCs/>
          <w:iCs/>
          <w:color w:val="000000" w:themeColor="text1"/>
        </w:rPr>
        <w:t xml:space="preserve"> </w:t>
      </w:r>
      <w:r w:rsidR="00A35FEE" w:rsidRPr="008D4287">
        <w:rPr>
          <w:rFonts w:ascii="Garamond" w:hAnsi="Garamond"/>
          <w:bCs/>
          <w:iCs/>
          <w:color w:val="000000" w:themeColor="text1"/>
        </w:rPr>
        <w:t>8/4</w:t>
      </w:r>
      <w:r w:rsidRPr="008D4287">
        <w:rPr>
          <w:rFonts w:ascii="Garamond" w:hAnsi="Garamond"/>
          <w:bCs/>
          <w:iCs/>
          <w:color w:val="000000" w:themeColor="text1"/>
        </w:rPr>
        <w:t>/202</w:t>
      </w:r>
      <w:r w:rsidR="00040968" w:rsidRPr="008D4287">
        <w:rPr>
          <w:rFonts w:ascii="Garamond" w:hAnsi="Garamond"/>
          <w:bCs/>
          <w:iCs/>
          <w:color w:val="000000" w:themeColor="text1"/>
        </w:rPr>
        <w:t>5</w:t>
      </w:r>
      <w:r w:rsidRPr="008D4287">
        <w:rPr>
          <w:rFonts w:ascii="Garamond" w:hAnsi="Garamond"/>
          <w:bCs/>
          <w:iCs/>
          <w:color w:val="000000" w:themeColor="text1"/>
        </w:rPr>
        <w:t xml:space="preserve">. </w:t>
      </w:r>
      <w:r w:rsidRPr="008D4287">
        <w:rPr>
          <w:rFonts w:ascii="Garamond" w:hAnsi="Garamond"/>
          <w:b/>
          <w:iCs/>
          <w:color w:val="000000" w:themeColor="text1"/>
        </w:rPr>
        <w:t>Published:</w:t>
      </w:r>
      <w:r w:rsidRPr="008D4287">
        <w:rPr>
          <w:rFonts w:ascii="Garamond" w:hAnsi="Garamond"/>
          <w:bCs/>
          <w:iCs/>
          <w:color w:val="000000" w:themeColor="text1"/>
        </w:rPr>
        <w:t xml:space="preserve"> </w:t>
      </w:r>
      <w:r w:rsidR="00A35FEE" w:rsidRPr="008D4287">
        <w:rPr>
          <w:rFonts w:ascii="Garamond" w:hAnsi="Garamond"/>
          <w:bCs/>
          <w:iCs/>
          <w:color w:val="000000" w:themeColor="text1"/>
        </w:rPr>
        <w:t>8</w:t>
      </w:r>
      <w:r w:rsidR="003D3FB7" w:rsidRPr="008D4287">
        <w:rPr>
          <w:rFonts w:ascii="Garamond" w:hAnsi="Garamond"/>
          <w:bCs/>
          <w:iCs/>
          <w:color w:val="000000" w:themeColor="text1"/>
        </w:rPr>
        <w:t>/</w:t>
      </w:r>
      <w:r w:rsidR="008D4287" w:rsidRPr="008D4287">
        <w:rPr>
          <w:rFonts w:ascii="Garamond" w:hAnsi="Garamond"/>
          <w:bCs/>
          <w:iCs/>
          <w:color w:val="000000" w:themeColor="text1"/>
        </w:rPr>
        <w:t>8</w:t>
      </w:r>
      <w:r w:rsidR="003D3FB7" w:rsidRPr="008D4287">
        <w:rPr>
          <w:rFonts w:ascii="Garamond" w:hAnsi="Garamond"/>
          <w:bCs/>
          <w:iCs/>
          <w:color w:val="000000" w:themeColor="text1"/>
        </w:rPr>
        <w:t>/2025</w:t>
      </w:r>
      <w:r w:rsidR="00AE5AF7" w:rsidRPr="008D4287">
        <w:rPr>
          <w:rFonts w:ascii="Garamond" w:hAnsi="Garamond"/>
          <w:bCs/>
          <w:iCs/>
          <w:color w:val="000000" w:themeColor="text1"/>
        </w:rPr>
        <w:t>.</w:t>
      </w:r>
    </w:p>
    <w:p w14:paraId="05A6A2C0" w14:textId="77777777" w:rsidR="00D74FA0" w:rsidRPr="00040968" w:rsidRDefault="00D74FA0" w:rsidP="00615F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val="0"/>
        <w:overflowPunct w:val="0"/>
        <w:autoSpaceDE w:val="0"/>
        <w:autoSpaceDN w:val="0"/>
        <w:adjustRightInd w:val="0"/>
        <w:rPr>
          <w:rFonts w:ascii="Garamond" w:hAnsi="Garamond"/>
          <w:bCs/>
          <w:iCs/>
          <w:color w:val="000000" w:themeColor="text1"/>
        </w:rPr>
      </w:pPr>
    </w:p>
    <w:p w14:paraId="64BE62A9" w14:textId="7F08E04C" w:rsidR="00D74FA0" w:rsidRPr="00A35FEE" w:rsidRDefault="00D74FA0" w:rsidP="00D74FA0">
      <w:pPr>
        <w:rPr>
          <w:rFonts w:ascii="Garamond" w:hAnsi="Garamond"/>
          <w:b/>
          <w:bCs/>
          <w:iCs/>
          <w:color w:val="000000" w:themeColor="text1"/>
        </w:rPr>
      </w:pPr>
      <w:r w:rsidRPr="00A35FEE">
        <w:rPr>
          <w:rFonts w:ascii="Garamond" w:hAnsi="Garamond"/>
          <w:b/>
          <w:iCs/>
          <w:color w:val="000000" w:themeColor="text1"/>
        </w:rPr>
        <w:t>Citation:</w:t>
      </w:r>
      <w:r w:rsidRPr="00A35FEE">
        <w:rPr>
          <w:rFonts w:ascii="Garamond" w:hAnsi="Garamond"/>
          <w:bCs/>
          <w:iCs/>
          <w:color w:val="000000" w:themeColor="text1"/>
        </w:rPr>
        <w:t xml:space="preserve"> </w:t>
      </w:r>
      <w:r w:rsidR="00A35FEE" w:rsidRPr="00A35FEE">
        <w:rPr>
          <w:rFonts w:ascii="Garamond" w:hAnsi="Garamond"/>
          <w:bCs/>
          <w:iCs/>
          <w:color w:val="000000" w:themeColor="text1"/>
        </w:rPr>
        <w:t>Wu, S.</w:t>
      </w:r>
      <w:r w:rsidR="004D655C" w:rsidRPr="00A35FEE">
        <w:rPr>
          <w:rFonts w:ascii="Garamond" w:hAnsi="Garamond"/>
          <w:bCs/>
          <w:iCs/>
          <w:color w:val="000000" w:themeColor="text1"/>
        </w:rPr>
        <w:t xml:space="preserve"> </w:t>
      </w:r>
      <w:r w:rsidR="00E36632" w:rsidRPr="00A35FEE">
        <w:rPr>
          <w:rFonts w:ascii="Garamond" w:hAnsi="Garamond"/>
          <w:bCs/>
          <w:iCs/>
          <w:color w:val="000000" w:themeColor="text1"/>
          <w:lang w:val="it-IT"/>
        </w:rPr>
        <w:t>(202</w:t>
      </w:r>
      <w:r w:rsidR="00EF3D5B" w:rsidRPr="00A35FEE">
        <w:rPr>
          <w:rFonts w:ascii="Garamond" w:hAnsi="Garamond"/>
          <w:bCs/>
          <w:iCs/>
          <w:color w:val="000000" w:themeColor="text1"/>
          <w:lang w:val="it-IT"/>
        </w:rPr>
        <w:t>5</w:t>
      </w:r>
      <w:r w:rsidR="00E36632" w:rsidRPr="00A35FEE">
        <w:rPr>
          <w:rFonts w:ascii="Garamond" w:hAnsi="Garamond"/>
          <w:bCs/>
          <w:iCs/>
          <w:color w:val="000000" w:themeColor="text1"/>
          <w:lang w:val="it-IT"/>
        </w:rPr>
        <w:t xml:space="preserve">). </w:t>
      </w:r>
      <w:r w:rsidR="00A35FEE" w:rsidRPr="00A35FEE">
        <w:rPr>
          <w:rFonts w:ascii="Garamond" w:hAnsi="Garamond" w:hint="eastAsia"/>
          <w:bCs/>
          <w:iCs/>
          <w:color w:val="000000" w:themeColor="text1"/>
        </w:rPr>
        <w:t xml:space="preserve">Evaluation on </w:t>
      </w:r>
      <w:r w:rsidR="00A35FEE" w:rsidRPr="00A35FEE">
        <w:rPr>
          <w:rFonts w:ascii="Garamond" w:hAnsi="Garamond"/>
          <w:bCs/>
          <w:iCs/>
          <w:color w:val="000000" w:themeColor="text1"/>
        </w:rPr>
        <w:t>Validation Practices in Validating the Strong Interest Inventory</w:t>
      </w:r>
      <w:r w:rsidR="00A35FEE" w:rsidRPr="00A35FEE">
        <w:rPr>
          <w:rFonts w:ascii="Garamond" w:hAnsi="Garamond" w:hint="eastAsia"/>
          <w:bCs/>
          <w:iCs/>
          <w:color w:val="000000" w:themeColor="text1"/>
        </w:rPr>
        <w:t xml:space="preserve">: </w:t>
      </w:r>
      <w:r w:rsidR="00A35FEE" w:rsidRPr="00A35FEE">
        <w:rPr>
          <w:rFonts w:ascii="Garamond" w:hAnsi="Garamond"/>
          <w:bCs/>
          <w:iCs/>
          <w:color w:val="000000" w:themeColor="text1"/>
        </w:rPr>
        <w:t xml:space="preserve">Gaps, Challenges, and Future Directions </w:t>
      </w:r>
      <w:r w:rsidR="00A35FEE" w:rsidRPr="00A35FEE">
        <w:rPr>
          <w:rFonts w:ascii="Garamond" w:hAnsi="Garamond" w:hint="eastAsia"/>
          <w:bCs/>
          <w:iCs/>
          <w:color w:val="000000" w:themeColor="text1"/>
        </w:rPr>
        <w:t>for Validation Studies</w:t>
      </w:r>
      <w:r w:rsidR="00E36632" w:rsidRPr="00A35FEE">
        <w:rPr>
          <w:rFonts w:ascii="Garamond" w:hAnsi="Garamond"/>
          <w:bCs/>
          <w:iCs/>
          <w:color w:val="000000" w:themeColor="text1"/>
        </w:rPr>
        <w:t xml:space="preserve">. </w:t>
      </w:r>
      <w:r w:rsidR="00E36632" w:rsidRPr="00A35FEE">
        <w:rPr>
          <w:rFonts w:ascii="Garamond" w:hAnsi="Garamond"/>
          <w:bCs/>
          <w:i/>
          <w:iCs/>
          <w:color w:val="000000" w:themeColor="text1"/>
        </w:rPr>
        <w:t>Practical Assessment, Research, &amp; Evaluation</w:t>
      </w:r>
      <w:r w:rsidR="00E36632" w:rsidRPr="00A35FEE">
        <w:rPr>
          <w:rFonts w:ascii="Garamond" w:hAnsi="Garamond"/>
          <w:bCs/>
          <w:iCs/>
          <w:color w:val="000000" w:themeColor="text1"/>
        </w:rPr>
        <w:t xml:space="preserve">, </w:t>
      </w:r>
      <w:r w:rsidR="00EF3D5B" w:rsidRPr="00A35FEE">
        <w:rPr>
          <w:rFonts w:ascii="Garamond" w:hAnsi="Garamond"/>
          <w:bCs/>
          <w:iCs/>
          <w:color w:val="000000" w:themeColor="text1"/>
        </w:rPr>
        <w:t>30</w:t>
      </w:r>
      <w:r w:rsidR="00E36632" w:rsidRPr="00A35FEE">
        <w:rPr>
          <w:rFonts w:ascii="Garamond" w:hAnsi="Garamond"/>
          <w:bCs/>
          <w:iCs/>
          <w:color w:val="000000" w:themeColor="text1"/>
        </w:rPr>
        <w:t>(</w:t>
      </w:r>
      <w:r w:rsidR="00A35FEE" w:rsidRPr="00A35FEE">
        <w:rPr>
          <w:rFonts w:ascii="Garamond" w:hAnsi="Garamond"/>
          <w:bCs/>
          <w:iCs/>
          <w:color w:val="000000" w:themeColor="text1"/>
        </w:rPr>
        <w:t>6</w:t>
      </w:r>
      <w:r w:rsidR="00E36632" w:rsidRPr="00A35FEE">
        <w:rPr>
          <w:rFonts w:ascii="Garamond" w:hAnsi="Garamond"/>
          <w:bCs/>
          <w:iCs/>
          <w:color w:val="000000" w:themeColor="text1"/>
        </w:rPr>
        <w:t xml:space="preserve">). Available online: </w:t>
      </w:r>
      <w:hyperlink r:id="rId17" w:history="1">
        <w:r w:rsidR="00A35FEE" w:rsidRPr="00A35FEE">
          <w:rPr>
            <w:rStyle w:val="Hyperlink"/>
            <w:rFonts w:ascii="Garamond" w:hAnsi="Garamond"/>
            <w:bCs/>
            <w:iCs/>
          </w:rPr>
          <w:t>https://doi.org</w:t>
        </w:r>
        <w:r w:rsidR="00A35FEE" w:rsidRPr="008D4287">
          <w:rPr>
            <w:rStyle w:val="Hyperlink"/>
            <w:rFonts w:ascii="Garamond" w:hAnsi="Garamond"/>
            <w:bCs/>
            <w:iCs/>
          </w:rPr>
          <w:t>/10.7275/pare.2726</w:t>
        </w:r>
      </w:hyperlink>
    </w:p>
    <w:p w14:paraId="76DBCF19" w14:textId="77777777" w:rsidR="00D74FA0" w:rsidRPr="00A35FEE" w:rsidRDefault="00D74FA0" w:rsidP="00D74FA0">
      <w:pPr>
        <w:rPr>
          <w:rFonts w:ascii="Garamond" w:hAnsi="Garamond"/>
          <w:b/>
          <w:iCs/>
          <w:color w:val="000000" w:themeColor="text1"/>
          <w:highlight w:val="yellow"/>
        </w:rPr>
      </w:pPr>
    </w:p>
    <w:p w14:paraId="201E12A8" w14:textId="7E49A2F8" w:rsidR="00111C0C" w:rsidRDefault="00111C0C" w:rsidP="00111C0C">
      <w:pPr>
        <w:rPr>
          <w:rFonts w:ascii="Garamond" w:hAnsi="Garamond"/>
          <w:bCs/>
          <w:iCs/>
          <w:color w:val="000000" w:themeColor="text1"/>
        </w:rPr>
      </w:pPr>
      <w:r w:rsidRPr="00A35FEE">
        <w:rPr>
          <w:rFonts w:ascii="Garamond" w:hAnsi="Garamond"/>
          <w:b/>
          <w:bCs/>
          <w:iCs/>
          <w:color w:val="000000" w:themeColor="text1"/>
        </w:rPr>
        <w:t>Corresponding Author:</w:t>
      </w:r>
      <w:r w:rsidRPr="00A35FEE">
        <w:rPr>
          <w:rFonts w:ascii="Garamond" w:hAnsi="Garamond"/>
          <w:iCs/>
          <w:color w:val="000000" w:themeColor="text1"/>
        </w:rPr>
        <w:t xml:space="preserve"> </w:t>
      </w:r>
      <w:r w:rsidR="00A35FEE" w:rsidRPr="00A35FEE">
        <w:rPr>
          <w:rFonts w:ascii="Garamond" w:hAnsi="Garamond"/>
          <w:iCs/>
          <w:color w:val="000000" w:themeColor="text1"/>
        </w:rPr>
        <w:t>Sirui Wu</w:t>
      </w:r>
      <w:r w:rsidRPr="00A35FEE">
        <w:rPr>
          <w:rFonts w:ascii="Garamond" w:hAnsi="Garamond"/>
          <w:bCs/>
          <w:iCs/>
          <w:color w:val="000000" w:themeColor="text1"/>
        </w:rPr>
        <w:t xml:space="preserve">, </w:t>
      </w:r>
      <w:r w:rsidR="00A35FEE" w:rsidRPr="00A35FEE">
        <w:rPr>
          <w:rFonts w:ascii="Garamond" w:hAnsi="Garamond"/>
          <w:bCs/>
          <w:iCs/>
          <w:color w:val="000000" w:themeColor="text1"/>
          <w:lang w:val="es-ES"/>
        </w:rPr>
        <w:t>University of British Columbia</w:t>
      </w:r>
      <w:r w:rsidR="007369E2" w:rsidRPr="00A35FEE">
        <w:rPr>
          <w:rFonts w:ascii="Garamond" w:hAnsi="Garamond"/>
          <w:bCs/>
          <w:iCs/>
          <w:color w:val="000000" w:themeColor="text1"/>
          <w:lang w:val="es-ES"/>
        </w:rPr>
        <w:t>.</w:t>
      </w:r>
      <w:r w:rsidRPr="00A35FEE">
        <w:rPr>
          <w:rFonts w:ascii="Garamond" w:hAnsi="Garamond"/>
          <w:bCs/>
          <w:iCs/>
          <w:color w:val="000000" w:themeColor="text1"/>
        </w:rPr>
        <w:t xml:space="preserve"> Email: </w:t>
      </w:r>
      <w:hyperlink r:id="rId18" w:history="1">
        <w:r w:rsidR="00A35FEE" w:rsidRPr="00A35FEE">
          <w:rPr>
            <w:rStyle w:val="Hyperlink"/>
            <w:rFonts w:ascii="Garamond" w:hAnsi="Garamond"/>
          </w:rPr>
          <w:t>sirui.wu@ubc.ca</w:t>
        </w:r>
      </w:hyperlink>
      <w:r w:rsidR="00A35FEE">
        <w:rPr>
          <w:rFonts w:ascii="Garamond" w:hAnsi="Garamond"/>
        </w:rPr>
        <w:t xml:space="preserve"> </w:t>
      </w:r>
      <w:r w:rsidR="004D655C">
        <w:t xml:space="preserve"> </w:t>
      </w:r>
      <w:r w:rsidR="00A35FEE">
        <w:t xml:space="preserve"> </w:t>
      </w:r>
      <w:r w:rsidR="004D655C">
        <w:rPr>
          <w:rFonts w:ascii="Garamond" w:hAnsi="Garamond"/>
          <w:bCs/>
          <w:iCs/>
          <w:color w:val="000000" w:themeColor="text1"/>
        </w:rPr>
        <w:t xml:space="preserve"> </w:t>
      </w:r>
    </w:p>
    <w:p w14:paraId="4C6E08A5" w14:textId="77777777" w:rsidR="00111C0C" w:rsidRPr="00EF3D5B" w:rsidRDefault="00111C0C" w:rsidP="00D74FA0">
      <w:pPr>
        <w:rPr>
          <w:rFonts w:ascii="Garamond" w:hAnsi="Garamond"/>
          <w:b/>
          <w:iCs/>
          <w:color w:val="000000" w:themeColor="text1"/>
        </w:rPr>
      </w:pPr>
    </w:p>
    <w:p w14:paraId="7D7FDA22" w14:textId="77777777" w:rsidR="00E36632" w:rsidRDefault="00E36632" w:rsidP="00E36632">
      <w:pPr>
        <w:pBdr>
          <w:top w:val="single" w:sz="4"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kinsoku w:val="0"/>
        <w:overflowPunct w:val="0"/>
        <w:autoSpaceDE w:val="0"/>
        <w:autoSpaceDN w:val="0"/>
        <w:adjustRightInd w:val="0"/>
        <w:rPr>
          <w:rFonts w:ascii="Garamond" w:hAnsi="Garamond"/>
          <w:b/>
          <w:iCs/>
          <w:color w:val="000000" w:themeColor="text1"/>
          <w:sz w:val="20"/>
          <w:szCs w:val="20"/>
        </w:rPr>
      </w:pPr>
    </w:p>
    <w:p w14:paraId="2CE05532" w14:textId="5F54B94D" w:rsidR="00E36632" w:rsidRPr="001C64BC" w:rsidRDefault="00E36632" w:rsidP="00E36632">
      <w:pPr>
        <w:spacing w:after="120"/>
        <w:rPr>
          <w:rFonts w:ascii="Garamond" w:eastAsia="Calibri" w:hAnsi="Garamond" w:cs="Arial"/>
          <w:b/>
          <w:bCs/>
          <w:color w:val="891D1D"/>
          <w:sz w:val="28"/>
          <w:szCs w:val="28"/>
        </w:rPr>
      </w:pPr>
      <w:r w:rsidRPr="001C64BC">
        <w:rPr>
          <w:rFonts w:ascii="Garamond" w:eastAsia="Calibri" w:hAnsi="Garamond" w:cs="Arial"/>
          <w:b/>
          <w:bCs/>
          <w:color w:val="891D1D"/>
          <w:sz w:val="28"/>
          <w:szCs w:val="28"/>
        </w:rPr>
        <w:t xml:space="preserve">References </w:t>
      </w:r>
    </w:p>
    <w:p w14:paraId="3F30344D" w14:textId="77777777" w:rsidR="009062D1" w:rsidRPr="009062D1" w:rsidRDefault="009062D1" w:rsidP="009062D1">
      <w:pPr>
        <w:ind w:left="360" w:hanging="360"/>
        <w:jc w:val="both"/>
        <w:rPr>
          <w:rFonts w:ascii="Garamond" w:hAnsi="Garamond"/>
          <w:bCs/>
          <w:iCs/>
          <w:color w:val="000000" w:themeColor="text1"/>
        </w:rPr>
      </w:pPr>
      <w:r w:rsidRPr="009062D1">
        <w:rPr>
          <w:rFonts w:ascii="Garamond" w:hAnsi="Garamond"/>
          <w:bCs/>
          <w:iCs/>
          <w:color w:val="000000" w:themeColor="text1"/>
        </w:rPr>
        <w:t xml:space="preserve">American Educational Research Association, American Psychological Association, &amp; National Council on Measurement in Education. (1999). </w:t>
      </w:r>
      <w:r w:rsidRPr="009062D1">
        <w:rPr>
          <w:rFonts w:ascii="Garamond" w:hAnsi="Garamond"/>
          <w:bCs/>
          <w:i/>
          <w:iCs/>
          <w:color w:val="000000" w:themeColor="text1"/>
        </w:rPr>
        <w:t>Standards for educational and psychological testing.</w:t>
      </w:r>
      <w:r w:rsidRPr="009062D1">
        <w:rPr>
          <w:rFonts w:ascii="Garamond" w:hAnsi="Garamond"/>
          <w:bCs/>
          <w:iCs/>
          <w:color w:val="000000" w:themeColor="text1"/>
        </w:rPr>
        <w:t xml:space="preserve"> American Psychological Association.</w:t>
      </w:r>
    </w:p>
    <w:p w14:paraId="37533AB3" w14:textId="77777777" w:rsidR="009062D1" w:rsidRPr="009062D1" w:rsidRDefault="009062D1" w:rsidP="009062D1">
      <w:pPr>
        <w:ind w:left="360" w:hanging="360"/>
        <w:jc w:val="both"/>
        <w:rPr>
          <w:rFonts w:ascii="Garamond" w:hAnsi="Garamond"/>
          <w:bCs/>
          <w:iCs/>
          <w:color w:val="000000" w:themeColor="text1"/>
        </w:rPr>
      </w:pPr>
      <w:r w:rsidRPr="009062D1">
        <w:rPr>
          <w:rFonts w:ascii="Garamond" w:hAnsi="Garamond"/>
          <w:bCs/>
          <w:iCs/>
          <w:color w:val="000000" w:themeColor="text1"/>
        </w:rPr>
        <w:t xml:space="preserve">American Educational Research Association, American Psychological Association, &amp; National Council on Measurement in Education. (2014). </w:t>
      </w:r>
      <w:r w:rsidRPr="009062D1">
        <w:rPr>
          <w:rFonts w:ascii="Garamond" w:hAnsi="Garamond"/>
          <w:bCs/>
          <w:i/>
          <w:iCs/>
          <w:color w:val="000000" w:themeColor="text1"/>
        </w:rPr>
        <w:t>Standards for educational and psychological testing.</w:t>
      </w:r>
      <w:r w:rsidRPr="009062D1">
        <w:rPr>
          <w:rFonts w:ascii="Garamond" w:hAnsi="Garamond"/>
          <w:bCs/>
          <w:iCs/>
          <w:color w:val="000000" w:themeColor="text1"/>
        </w:rPr>
        <w:t xml:space="preserve"> American Psychological Association.</w:t>
      </w:r>
    </w:p>
    <w:p w14:paraId="0EFFBEDF" w14:textId="77777777" w:rsidR="009062D1" w:rsidRPr="009062D1" w:rsidRDefault="009062D1" w:rsidP="009062D1">
      <w:pPr>
        <w:ind w:left="360" w:hanging="360"/>
        <w:jc w:val="both"/>
        <w:rPr>
          <w:rFonts w:ascii="Garamond" w:hAnsi="Garamond"/>
          <w:bCs/>
          <w:iCs/>
          <w:color w:val="000000" w:themeColor="text1"/>
        </w:rPr>
      </w:pPr>
      <w:r w:rsidRPr="009062D1">
        <w:rPr>
          <w:rFonts w:ascii="Garamond" w:hAnsi="Garamond"/>
          <w:bCs/>
          <w:iCs/>
          <w:color w:val="000000" w:themeColor="text1"/>
        </w:rPr>
        <w:lastRenderedPageBreak/>
        <w:t xml:space="preserve">Armstrong, P. I., &amp; Vogel, D. L. (2009). Interpreting the interest–efficacy association from a RIASEC perspective. </w:t>
      </w:r>
      <w:r w:rsidRPr="009062D1">
        <w:rPr>
          <w:rFonts w:ascii="Garamond" w:hAnsi="Garamond"/>
          <w:bCs/>
          <w:i/>
          <w:iCs/>
          <w:color w:val="000000" w:themeColor="text1"/>
        </w:rPr>
        <w:t>Journal of Counseling Psychology</w:t>
      </w:r>
      <w:r w:rsidRPr="009062D1">
        <w:rPr>
          <w:rFonts w:ascii="Garamond" w:hAnsi="Garamond"/>
          <w:bCs/>
          <w:iCs/>
          <w:color w:val="000000" w:themeColor="text1"/>
        </w:rPr>
        <w:t>, 56(3), 392.</w:t>
      </w:r>
    </w:p>
    <w:p w14:paraId="044A1C53" w14:textId="77777777" w:rsidR="009062D1" w:rsidRPr="009062D1" w:rsidRDefault="009062D1" w:rsidP="009062D1">
      <w:pPr>
        <w:ind w:left="360" w:hanging="360"/>
        <w:jc w:val="both"/>
        <w:rPr>
          <w:rFonts w:ascii="Garamond" w:hAnsi="Garamond"/>
          <w:bCs/>
          <w:iCs/>
          <w:color w:val="000000" w:themeColor="text1"/>
        </w:rPr>
      </w:pPr>
      <w:r w:rsidRPr="009062D1">
        <w:rPr>
          <w:rFonts w:ascii="Garamond" w:hAnsi="Garamond"/>
          <w:bCs/>
          <w:iCs/>
          <w:color w:val="000000" w:themeColor="text1"/>
        </w:rPr>
        <w:t xml:space="preserve">Bailey, D. C., Larson, L. M., Borgen, F. H., &amp; Gasser, C. E. (2008). Changing of the guard: Interpretive continuity of the 2005 Strong Interest Inventory. </w:t>
      </w:r>
      <w:r w:rsidRPr="009062D1">
        <w:rPr>
          <w:rFonts w:ascii="Garamond" w:hAnsi="Garamond"/>
          <w:bCs/>
          <w:i/>
          <w:iCs/>
          <w:color w:val="000000" w:themeColor="text1"/>
        </w:rPr>
        <w:t>Journal of Career Assessment</w:t>
      </w:r>
      <w:r w:rsidRPr="009062D1">
        <w:rPr>
          <w:rFonts w:ascii="Garamond" w:hAnsi="Garamond"/>
          <w:bCs/>
          <w:iCs/>
          <w:color w:val="000000" w:themeColor="text1"/>
        </w:rPr>
        <w:t>, 16(2), 135-155.</w:t>
      </w:r>
    </w:p>
    <w:p w14:paraId="2A2D4F2E" w14:textId="77777777" w:rsidR="009062D1" w:rsidRPr="009062D1" w:rsidRDefault="009062D1" w:rsidP="009062D1">
      <w:pPr>
        <w:ind w:left="360" w:hanging="360"/>
        <w:jc w:val="both"/>
        <w:rPr>
          <w:rFonts w:ascii="Garamond" w:hAnsi="Garamond"/>
          <w:bCs/>
          <w:iCs/>
          <w:color w:val="000000" w:themeColor="text1"/>
        </w:rPr>
      </w:pPr>
      <w:r w:rsidRPr="009062D1">
        <w:rPr>
          <w:rFonts w:ascii="Garamond" w:hAnsi="Garamond"/>
          <w:bCs/>
          <w:iCs/>
          <w:color w:val="000000" w:themeColor="text1"/>
          <w:lang w:val="en-CA"/>
        </w:rPr>
        <w:t xml:space="preserve">Bartram, D. (1996). The relationship between ipsatized and normative measures of personality. </w:t>
      </w:r>
      <w:r w:rsidRPr="009062D1">
        <w:rPr>
          <w:rFonts w:ascii="Garamond" w:hAnsi="Garamond"/>
          <w:bCs/>
          <w:i/>
          <w:iCs/>
          <w:color w:val="000000" w:themeColor="text1"/>
          <w:lang w:val="en-CA"/>
        </w:rPr>
        <w:t>Journal of Occupational and Organizational Psychology</w:t>
      </w:r>
      <w:r w:rsidRPr="009062D1">
        <w:rPr>
          <w:rFonts w:ascii="Garamond" w:hAnsi="Garamond"/>
          <w:bCs/>
          <w:iCs/>
          <w:color w:val="000000" w:themeColor="text1"/>
          <w:lang w:val="en-CA"/>
        </w:rPr>
        <w:t xml:space="preserve">, </w:t>
      </w:r>
      <w:r w:rsidRPr="009062D1">
        <w:rPr>
          <w:rFonts w:ascii="Garamond" w:hAnsi="Garamond"/>
          <w:bCs/>
          <w:i/>
          <w:iCs/>
          <w:color w:val="000000" w:themeColor="text1"/>
          <w:lang w:val="en-CA"/>
        </w:rPr>
        <w:t>69</w:t>
      </w:r>
      <w:r w:rsidRPr="009062D1">
        <w:rPr>
          <w:rFonts w:ascii="Garamond" w:hAnsi="Garamond"/>
          <w:bCs/>
          <w:iCs/>
          <w:color w:val="000000" w:themeColor="text1"/>
          <w:lang w:val="en-CA"/>
        </w:rPr>
        <w:t>(1), 25-39.</w:t>
      </w:r>
    </w:p>
    <w:p w14:paraId="274365F0" w14:textId="77777777" w:rsidR="009062D1" w:rsidRPr="009062D1" w:rsidRDefault="009062D1" w:rsidP="009062D1">
      <w:pPr>
        <w:ind w:left="360" w:hanging="360"/>
        <w:jc w:val="both"/>
        <w:rPr>
          <w:rFonts w:ascii="Garamond" w:hAnsi="Garamond"/>
          <w:bCs/>
          <w:iCs/>
          <w:color w:val="000000" w:themeColor="text1"/>
        </w:rPr>
      </w:pPr>
      <w:r w:rsidRPr="009062D1">
        <w:rPr>
          <w:rFonts w:ascii="Garamond" w:hAnsi="Garamond"/>
          <w:bCs/>
          <w:iCs/>
          <w:color w:val="000000" w:themeColor="text1"/>
        </w:rPr>
        <w:t xml:space="preserve">Borsboom, D., Mellenbergh, G. J., &amp; Van Heerden, J. (2004). The concept of validity. </w:t>
      </w:r>
      <w:r w:rsidRPr="009062D1">
        <w:rPr>
          <w:rFonts w:ascii="Garamond" w:hAnsi="Garamond"/>
          <w:bCs/>
          <w:i/>
          <w:iCs/>
          <w:color w:val="000000" w:themeColor="text1"/>
        </w:rPr>
        <w:t>Psychological review</w:t>
      </w:r>
      <w:r w:rsidRPr="009062D1">
        <w:rPr>
          <w:rFonts w:ascii="Garamond" w:hAnsi="Garamond"/>
          <w:bCs/>
          <w:iCs/>
          <w:color w:val="000000" w:themeColor="text1"/>
        </w:rPr>
        <w:t>, 111(4), 1061.</w:t>
      </w:r>
    </w:p>
    <w:p w14:paraId="5FAA73F0" w14:textId="61C8A7D2" w:rsidR="009062D1" w:rsidRPr="009062D1" w:rsidRDefault="009062D1" w:rsidP="009062D1">
      <w:pPr>
        <w:ind w:left="360" w:hanging="360"/>
        <w:jc w:val="both"/>
        <w:rPr>
          <w:rFonts w:ascii="Garamond" w:hAnsi="Garamond"/>
          <w:bCs/>
          <w:iCs/>
          <w:color w:val="000000" w:themeColor="text1"/>
        </w:rPr>
      </w:pPr>
      <w:r w:rsidRPr="009062D1">
        <w:rPr>
          <w:rFonts w:ascii="Garamond" w:hAnsi="Garamond"/>
          <w:bCs/>
          <w:iCs/>
          <w:color w:val="000000" w:themeColor="text1"/>
        </w:rPr>
        <w:t xml:space="preserve">Campbell, </w:t>
      </w:r>
      <w:r w:rsidR="00EC4BFA" w:rsidRPr="009062D1">
        <w:rPr>
          <w:rFonts w:ascii="Garamond" w:hAnsi="Garamond"/>
          <w:bCs/>
          <w:iCs/>
          <w:color w:val="000000" w:themeColor="text1"/>
        </w:rPr>
        <w:t>D.P.,</w:t>
      </w:r>
      <w:r w:rsidRPr="009062D1">
        <w:rPr>
          <w:rFonts w:ascii="Garamond" w:hAnsi="Garamond"/>
          <w:bCs/>
          <w:iCs/>
          <w:color w:val="000000" w:themeColor="text1"/>
        </w:rPr>
        <w:t xml:space="preserve"> &amp; Hansen, J.C. (1981). </w:t>
      </w:r>
      <w:r w:rsidRPr="009062D1">
        <w:rPr>
          <w:rFonts w:ascii="Garamond" w:hAnsi="Garamond"/>
          <w:bCs/>
          <w:i/>
          <w:iCs/>
          <w:color w:val="000000" w:themeColor="text1"/>
        </w:rPr>
        <w:t>Manual for the SVIB-SCII (3rd ed.).</w:t>
      </w:r>
      <w:r w:rsidRPr="009062D1">
        <w:rPr>
          <w:rFonts w:ascii="Garamond" w:hAnsi="Garamond"/>
          <w:bCs/>
          <w:iCs/>
          <w:color w:val="000000" w:themeColor="text1"/>
        </w:rPr>
        <w:t xml:space="preserve"> Stanford, CA: Stanford University Press</w:t>
      </w:r>
    </w:p>
    <w:p w14:paraId="292EB088" w14:textId="150D600C" w:rsidR="009062D1" w:rsidRPr="009062D1" w:rsidRDefault="009062D1" w:rsidP="009062D1">
      <w:pPr>
        <w:ind w:left="360" w:hanging="360"/>
        <w:jc w:val="both"/>
        <w:rPr>
          <w:rFonts w:ascii="Garamond" w:hAnsi="Garamond"/>
          <w:bCs/>
          <w:iCs/>
          <w:color w:val="000000" w:themeColor="text1"/>
        </w:rPr>
      </w:pPr>
      <w:r w:rsidRPr="009062D1">
        <w:rPr>
          <w:rFonts w:ascii="Garamond" w:hAnsi="Garamond"/>
          <w:bCs/>
          <w:iCs/>
          <w:color w:val="000000" w:themeColor="text1"/>
        </w:rPr>
        <w:t xml:space="preserve">Chan, E. K., Munro, D. W., Huang, A. H., Zumbo, B. D., Vojdanijahromi, R., &amp; Ark, N. (2014). Validation practices in counseling: Major journals, mattering instruments, and the Kuder Occupational Interest Survey (KOIS). In: Zumbo, B.D., Chan, E.K.H. (eds) </w:t>
      </w:r>
      <w:r w:rsidRPr="009062D1">
        <w:rPr>
          <w:rFonts w:ascii="Garamond" w:hAnsi="Garamond"/>
          <w:bCs/>
          <w:i/>
          <w:iCs/>
          <w:color w:val="000000" w:themeColor="text1"/>
        </w:rPr>
        <w:t>Validity and validation in social, behavioral, and health sciences</w:t>
      </w:r>
      <w:r w:rsidRPr="009062D1">
        <w:rPr>
          <w:rFonts w:ascii="Garamond" w:hAnsi="Garamond"/>
          <w:bCs/>
          <w:iCs/>
          <w:color w:val="000000" w:themeColor="text1"/>
        </w:rPr>
        <w:t xml:space="preserve"> (pp. 91-111). Springer, Cham.</w:t>
      </w:r>
    </w:p>
    <w:p w14:paraId="7F370BEC" w14:textId="77777777" w:rsidR="009062D1" w:rsidRPr="009062D1" w:rsidRDefault="009062D1" w:rsidP="009062D1">
      <w:pPr>
        <w:ind w:left="360" w:hanging="360"/>
        <w:jc w:val="both"/>
        <w:rPr>
          <w:rFonts w:ascii="Garamond" w:hAnsi="Garamond"/>
          <w:bCs/>
          <w:iCs/>
          <w:color w:val="000000" w:themeColor="text1"/>
        </w:rPr>
      </w:pPr>
      <w:r w:rsidRPr="009062D1">
        <w:rPr>
          <w:rFonts w:ascii="Garamond" w:hAnsi="Garamond"/>
          <w:bCs/>
          <w:iCs/>
          <w:color w:val="000000" w:themeColor="text1"/>
        </w:rPr>
        <w:t>Chu, C., Russell, M. T., Hoff, K. A., Jonathan Phan, W. M., &amp; Rounds, J. (2022). What do interest inventories measure? The convergence and content validity of four RIASEC inventories</w:t>
      </w:r>
      <w:r w:rsidRPr="009062D1">
        <w:rPr>
          <w:rFonts w:ascii="Garamond" w:hAnsi="Garamond"/>
          <w:bCs/>
          <w:i/>
          <w:iCs/>
          <w:color w:val="000000" w:themeColor="text1"/>
        </w:rPr>
        <w:t>. Journal of Career Assessment</w:t>
      </w:r>
      <w:r w:rsidRPr="009062D1">
        <w:rPr>
          <w:rFonts w:ascii="Garamond" w:hAnsi="Garamond"/>
          <w:bCs/>
          <w:iCs/>
          <w:color w:val="000000" w:themeColor="text1"/>
        </w:rPr>
        <w:t>, 30(4), 776-801.</w:t>
      </w:r>
    </w:p>
    <w:p w14:paraId="7DD1579D" w14:textId="77777777" w:rsidR="009062D1" w:rsidRPr="009062D1" w:rsidRDefault="009062D1" w:rsidP="009062D1">
      <w:pPr>
        <w:ind w:left="360" w:hanging="360"/>
        <w:jc w:val="both"/>
        <w:rPr>
          <w:rFonts w:ascii="Garamond" w:hAnsi="Garamond"/>
          <w:bCs/>
          <w:iCs/>
          <w:color w:val="000000" w:themeColor="text1"/>
        </w:rPr>
      </w:pPr>
      <w:r w:rsidRPr="009062D1">
        <w:rPr>
          <w:rFonts w:ascii="Garamond" w:hAnsi="Garamond"/>
          <w:bCs/>
          <w:iCs/>
          <w:color w:val="000000" w:themeColor="text1"/>
        </w:rPr>
        <w:t>Cronbach, L. J., &amp; Meehl, P. E. (1955). Construct validity in psychological tests</w:t>
      </w:r>
      <w:r w:rsidRPr="009062D1">
        <w:rPr>
          <w:rFonts w:ascii="Garamond" w:hAnsi="Garamond"/>
          <w:bCs/>
          <w:i/>
          <w:iCs/>
          <w:color w:val="000000" w:themeColor="text1"/>
        </w:rPr>
        <w:t>. Psychological bulletin</w:t>
      </w:r>
      <w:r w:rsidRPr="009062D1">
        <w:rPr>
          <w:rFonts w:ascii="Garamond" w:hAnsi="Garamond"/>
          <w:bCs/>
          <w:iCs/>
          <w:color w:val="000000" w:themeColor="text1"/>
        </w:rPr>
        <w:t>, 52(4), 281.</w:t>
      </w:r>
    </w:p>
    <w:p w14:paraId="631B1E0A" w14:textId="77777777" w:rsidR="009062D1" w:rsidRPr="009062D1" w:rsidRDefault="009062D1" w:rsidP="009062D1">
      <w:pPr>
        <w:ind w:left="360" w:hanging="360"/>
        <w:jc w:val="both"/>
        <w:rPr>
          <w:rFonts w:ascii="Garamond" w:hAnsi="Garamond"/>
          <w:bCs/>
          <w:iCs/>
          <w:color w:val="000000" w:themeColor="text1"/>
        </w:rPr>
      </w:pPr>
      <w:r w:rsidRPr="009062D1">
        <w:rPr>
          <w:rFonts w:ascii="Garamond" w:hAnsi="Garamond"/>
          <w:bCs/>
          <w:iCs/>
          <w:color w:val="000000" w:themeColor="text1"/>
        </w:rPr>
        <w:t xml:space="preserve">Dik, B. J., &amp; Hansen, J. I. C. (2004). Development and validation of discriminant functions for the Strong Interest Inventory. </w:t>
      </w:r>
      <w:r w:rsidRPr="009062D1">
        <w:rPr>
          <w:rFonts w:ascii="Garamond" w:hAnsi="Garamond"/>
          <w:bCs/>
          <w:i/>
          <w:iCs/>
          <w:color w:val="000000" w:themeColor="text1"/>
        </w:rPr>
        <w:t>Journal of Vocational Behavior</w:t>
      </w:r>
      <w:r w:rsidRPr="009062D1">
        <w:rPr>
          <w:rFonts w:ascii="Garamond" w:hAnsi="Garamond"/>
          <w:bCs/>
          <w:iCs/>
          <w:color w:val="000000" w:themeColor="text1"/>
        </w:rPr>
        <w:t>, 64(1), 182-197.</w:t>
      </w:r>
    </w:p>
    <w:p w14:paraId="225C5727" w14:textId="635B1D24" w:rsidR="009062D1" w:rsidRPr="009062D1" w:rsidRDefault="009062D1" w:rsidP="009062D1">
      <w:pPr>
        <w:ind w:left="360" w:hanging="360"/>
        <w:jc w:val="both"/>
        <w:rPr>
          <w:rFonts w:ascii="Garamond" w:hAnsi="Garamond"/>
          <w:bCs/>
          <w:iCs/>
          <w:color w:val="000000" w:themeColor="text1"/>
        </w:rPr>
      </w:pPr>
      <w:r w:rsidRPr="009062D1">
        <w:rPr>
          <w:rFonts w:ascii="Garamond" w:hAnsi="Garamond"/>
          <w:bCs/>
          <w:iCs/>
          <w:color w:val="000000" w:themeColor="text1"/>
        </w:rPr>
        <w:t xml:space="preserve">Donnay, D. A. C., Morris, M. L., Schaubhut, N. A., &amp; Thompson, R. C. (2005). </w:t>
      </w:r>
      <w:r w:rsidRPr="009062D1">
        <w:rPr>
          <w:rFonts w:ascii="Garamond" w:hAnsi="Garamond"/>
          <w:bCs/>
          <w:i/>
          <w:iCs/>
          <w:color w:val="000000" w:themeColor="text1"/>
        </w:rPr>
        <w:t>Strong Interest Inventory manual: Research, development, and strategies for interpretation</w:t>
      </w:r>
      <w:r w:rsidRPr="009062D1">
        <w:rPr>
          <w:rFonts w:ascii="Garamond" w:hAnsi="Garamond"/>
          <w:bCs/>
          <w:iCs/>
          <w:color w:val="000000" w:themeColor="text1"/>
        </w:rPr>
        <w:t>. Mountain View, CA: CPP Inc</w:t>
      </w:r>
      <w:r w:rsidR="00751184">
        <w:rPr>
          <w:rFonts w:ascii="Garamond" w:hAnsi="Garamond"/>
          <w:bCs/>
          <w:iCs/>
          <w:color w:val="000000" w:themeColor="text1"/>
        </w:rPr>
        <w:t>.</w:t>
      </w:r>
    </w:p>
    <w:p w14:paraId="4B882DC3" w14:textId="77777777" w:rsidR="009062D1" w:rsidRPr="009062D1" w:rsidRDefault="009062D1" w:rsidP="009062D1">
      <w:pPr>
        <w:ind w:left="360" w:hanging="360"/>
        <w:jc w:val="both"/>
        <w:rPr>
          <w:rFonts w:ascii="Garamond" w:hAnsi="Garamond"/>
          <w:bCs/>
          <w:iCs/>
          <w:color w:val="000000" w:themeColor="text1"/>
        </w:rPr>
      </w:pPr>
      <w:r w:rsidRPr="009062D1">
        <w:rPr>
          <w:rFonts w:ascii="Garamond" w:hAnsi="Garamond"/>
          <w:bCs/>
          <w:iCs/>
          <w:color w:val="000000" w:themeColor="text1"/>
        </w:rPr>
        <w:t xml:space="preserve">Einarsdóttir, S., &amp; Rounds, J. (2009). Gender bias and construct validity in vocational interest measurement: Differential item functioning in the Strong Interest Inventory. </w:t>
      </w:r>
      <w:r w:rsidRPr="009062D1">
        <w:rPr>
          <w:rFonts w:ascii="Garamond" w:hAnsi="Garamond"/>
          <w:bCs/>
          <w:i/>
          <w:iCs/>
          <w:color w:val="000000" w:themeColor="text1"/>
        </w:rPr>
        <w:t>Journal of Vocational Behavior</w:t>
      </w:r>
      <w:r w:rsidRPr="009062D1">
        <w:rPr>
          <w:rFonts w:ascii="Garamond" w:hAnsi="Garamond"/>
          <w:bCs/>
          <w:iCs/>
          <w:color w:val="000000" w:themeColor="text1"/>
        </w:rPr>
        <w:t>, 74(3), 295-307.</w:t>
      </w:r>
    </w:p>
    <w:p w14:paraId="42506D54" w14:textId="1D410B34" w:rsidR="009062D1" w:rsidRPr="009062D1" w:rsidRDefault="009062D1" w:rsidP="009062D1">
      <w:pPr>
        <w:ind w:left="360" w:hanging="360"/>
        <w:jc w:val="both"/>
        <w:rPr>
          <w:rFonts w:ascii="Garamond" w:hAnsi="Garamond"/>
          <w:bCs/>
          <w:iCs/>
          <w:color w:val="000000" w:themeColor="text1"/>
        </w:rPr>
      </w:pPr>
      <w:r w:rsidRPr="009062D1">
        <w:rPr>
          <w:rFonts w:ascii="Garamond" w:hAnsi="Garamond"/>
          <w:bCs/>
          <w:iCs/>
          <w:color w:val="000000" w:themeColor="text1"/>
        </w:rPr>
        <w:t xml:space="preserve">Embretson, S. E. (2007). Construct validity: A universal validity system or just another test evaluation </w:t>
      </w:r>
      <w:r w:rsidR="00EC4BFA" w:rsidRPr="009062D1">
        <w:rPr>
          <w:rFonts w:ascii="Garamond" w:hAnsi="Garamond"/>
          <w:bCs/>
          <w:iCs/>
          <w:color w:val="000000" w:themeColor="text1"/>
        </w:rPr>
        <w:t>procedure?</w:t>
      </w:r>
      <w:r w:rsidRPr="009062D1">
        <w:rPr>
          <w:rFonts w:ascii="Garamond" w:hAnsi="Garamond"/>
          <w:bCs/>
          <w:iCs/>
          <w:color w:val="000000" w:themeColor="text1"/>
        </w:rPr>
        <w:t xml:space="preserve"> </w:t>
      </w:r>
      <w:r w:rsidRPr="009062D1">
        <w:rPr>
          <w:rFonts w:ascii="Garamond" w:hAnsi="Garamond"/>
          <w:bCs/>
          <w:i/>
          <w:iCs/>
          <w:color w:val="000000" w:themeColor="text1"/>
        </w:rPr>
        <w:t>Educational Researcher</w:t>
      </w:r>
      <w:r w:rsidRPr="009062D1">
        <w:rPr>
          <w:rFonts w:ascii="Garamond" w:hAnsi="Garamond"/>
          <w:bCs/>
          <w:iCs/>
          <w:color w:val="000000" w:themeColor="text1"/>
        </w:rPr>
        <w:t>, 36(8), 449-455.</w:t>
      </w:r>
    </w:p>
    <w:p w14:paraId="227F010A" w14:textId="77777777" w:rsidR="009062D1" w:rsidRPr="009062D1" w:rsidRDefault="009062D1" w:rsidP="009062D1">
      <w:pPr>
        <w:ind w:left="360" w:hanging="360"/>
        <w:jc w:val="both"/>
        <w:rPr>
          <w:rFonts w:ascii="Garamond" w:hAnsi="Garamond"/>
          <w:bCs/>
          <w:iCs/>
          <w:color w:val="000000" w:themeColor="text1"/>
        </w:rPr>
      </w:pPr>
      <w:r w:rsidRPr="009062D1">
        <w:rPr>
          <w:rFonts w:ascii="Garamond" w:hAnsi="Garamond"/>
          <w:bCs/>
          <w:iCs/>
          <w:color w:val="000000" w:themeColor="text1"/>
        </w:rPr>
        <w:t xml:space="preserve">Flores, L. Y., Spanierman, L. B., Armstrong, P. I., &amp; Velez, A. D. (2006). Validity of the strong interest inventory and skills confidence inventory with Mexican American high school students. </w:t>
      </w:r>
      <w:r w:rsidRPr="009062D1">
        <w:rPr>
          <w:rFonts w:ascii="Garamond" w:hAnsi="Garamond"/>
          <w:bCs/>
          <w:i/>
          <w:iCs/>
          <w:color w:val="000000" w:themeColor="text1"/>
        </w:rPr>
        <w:t>Journal of Career Assessment</w:t>
      </w:r>
      <w:r w:rsidRPr="009062D1">
        <w:rPr>
          <w:rFonts w:ascii="Garamond" w:hAnsi="Garamond"/>
          <w:bCs/>
          <w:iCs/>
          <w:color w:val="000000" w:themeColor="text1"/>
        </w:rPr>
        <w:t>, 14(2), 183-202.</w:t>
      </w:r>
    </w:p>
    <w:p w14:paraId="7D57A815" w14:textId="77777777" w:rsidR="009062D1" w:rsidRPr="009062D1" w:rsidRDefault="009062D1" w:rsidP="009062D1">
      <w:pPr>
        <w:ind w:left="360" w:hanging="360"/>
        <w:jc w:val="both"/>
        <w:rPr>
          <w:rFonts w:ascii="Garamond" w:hAnsi="Garamond"/>
          <w:bCs/>
          <w:iCs/>
          <w:color w:val="000000" w:themeColor="text1"/>
        </w:rPr>
      </w:pPr>
      <w:r w:rsidRPr="009062D1">
        <w:rPr>
          <w:rFonts w:ascii="Garamond" w:hAnsi="Garamond"/>
          <w:bCs/>
          <w:iCs/>
          <w:color w:val="000000" w:themeColor="text1"/>
        </w:rPr>
        <w:t xml:space="preserve">Fouad, N. A., &amp; Walker, C. M. (2005). Cultural influences on responses to items on the Strong Interest Inventory. </w:t>
      </w:r>
      <w:r w:rsidRPr="009062D1">
        <w:rPr>
          <w:rFonts w:ascii="Garamond" w:hAnsi="Garamond"/>
          <w:bCs/>
          <w:i/>
          <w:iCs/>
          <w:color w:val="000000" w:themeColor="text1"/>
        </w:rPr>
        <w:t>Journal of Vocational Behavior</w:t>
      </w:r>
      <w:r w:rsidRPr="009062D1">
        <w:rPr>
          <w:rFonts w:ascii="Garamond" w:hAnsi="Garamond"/>
          <w:bCs/>
          <w:iCs/>
          <w:color w:val="000000" w:themeColor="text1"/>
        </w:rPr>
        <w:t>, 66(1), 104-123.</w:t>
      </w:r>
    </w:p>
    <w:p w14:paraId="26D82A76" w14:textId="77777777" w:rsidR="009062D1" w:rsidRPr="009062D1" w:rsidRDefault="009062D1" w:rsidP="009062D1">
      <w:pPr>
        <w:ind w:left="360" w:hanging="360"/>
        <w:jc w:val="both"/>
        <w:rPr>
          <w:rFonts w:ascii="Garamond" w:hAnsi="Garamond"/>
          <w:bCs/>
          <w:iCs/>
          <w:color w:val="000000" w:themeColor="text1"/>
        </w:rPr>
      </w:pPr>
      <w:r w:rsidRPr="009062D1">
        <w:rPr>
          <w:rFonts w:ascii="Garamond" w:hAnsi="Garamond"/>
          <w:bCs/>
          <w:iCs/>
          <w:color w:val="000000" w:themeColor="text1"/>
        </w:rPr>
        <w:t xml:space="preserve">Gasser, C. E., Larson, L. M., &amp; Borgen, F. H. (2007). Concurrent validity of the 2005 Strong Interest Inventory: An examination of gender and major field of study. </w:t>
      </w:r>
      <w:r w:rsidRPr="009062D1">
        <w:rPr>
          <w:rFonts w:ascii="Garamond" w:hAnsi="Garamond"/>
          <w:bCs/>
          <w:i/>
          <w:iCs/>
          <w:color w:val="000000" w:themeColor="text1"/>
        </w:rPr>
        <w:t>Journal of Career Assessment</w:t>
      </w:r>
      <w:r w:rsidRPr="009062D1">
        <w:rPr>
          <w:rFonts w:ascii="Garamond" w:hAnsi="Garamond"/>
          <w:bCs/>
          <w:iCs/>
          <w:color w:val="000000" w:themeColor="text1"/>
        </w:rPr>
        <w:t>, 15(1), 23-43.</w:t>
      </w:r>
    </w:p>
    <w:p w14:paraId="4DE1BBDF" w14:textId="77777777" w:rsidR="009062D1" w:rsidRPr="009062D1" w:rsidRDefault="009062D1" w:rsidP="009062D1">
      <w:pPr>
        <w:ind w:left="360" w:hanging="360"/>
        <w:jc w:val="both"/>
        <w:rPr>
          <w:rFonts w:ascii="Garamond" w:hAnsi="Garamond"/>
          <w:bCs/>
          <w:iCs/>
          <w:color w:val="000000" w:themeColor="text1"/>
        </w:rPr>
      </w:pPr>
      <w:r w:rsidRPr="009062D1">
        <w:rPr>
          <w:rFonts w:ascii="Garamond" w:hAnsi="Garamond"/>
          <w:bCs/>
          <w:iCs/>
          <w:color w:val="000000" w:themeColor="text1"/>
        </w:rPr>
        <w:t xml:space="preserve">Hansen, J. I. C. (2019). Interest inventories. In </w:t>
      </w:r>
      <w:r w:rsidRPr="009062D1">
        <w:rPr>
          <w:rFonts w:ascii="Garamond" w:hAnsi="Garamond"/>
          <w:bCs/>
          <w:i/>
          <w:iCs/>
          <w:color w:val="000000" w:themeColor="text1"/>
        </w:rPr>
        <w:t>Handbook of psychological assessment</w:t>
      </w:r>
      <w:r w:rsidRPr="009062D1">
        <w:rPr>
          <w:rFonts w:ascii="Garamond" w:hAnsi="Garamond"/>
          <w:bCs/>
          <w:iCs/>
          <w:color w:val="000000" w:themeColor="text1"/>
        </w:rPr>
        <w:t xml:space="preserve"> (pp. 169-190). Academic Press.</w:t>
      </w:r>
    </w:p>
    <w:p w14:paraId="67F12D08" w14:textId="77777777" w:rsidR="009062D1" w:rsidRPr="009062D1" w:rsidRDefault="009062D1" w:rsidP="009062D1">
      <w:pPr>
        <w:ind w:left="360" w:hanging="360"/>
        <w:jc w:val="both"/>
        <w:rPr>
          <w:rFonts w:ascii="Garamond" w:hAnsi="Garamond"/>
          <w:bCs/>
          <w:iCs/>
          <w:color w:val="000000" w:themeColor="text1"/>
        </w:rPr>
      </w:pPr>
      <w:r w:rsidRPr="009062D1">
        <w:rPr>
          <w:rFonts w:ascii="Garamond" w:hAnsi="Garamond"/>
          <w:bCs/>
          <w:iCs/>
          <w:color w:val="000000" w:themeColor="text1"/>
        </w:rPr>
        <w:t xml:space="preserve">Hansen, J. I. C., &amp; Dik, B. J. (2005). Evidence of 12-year predictive and concurrent validity for SII Occupational Scale scores. </w:t>
      </w:r>
      <w:r w:rsidRPr="009062D1">
        <w:rPr>
          <w:rFonts w:ascii="Garamond" w:hAnsi="Garamond"/>
          <w:bCs/>
          <w:i/>
          <w:iCs/>
          <w:color w:val="000000" w:themeColor="text1"/>
        </w:rPr>
        <w:t>Journal of Vocational Behavior</w:t>
      </w:r>
      <w:r w:rsidRPr="009062D1">
        <w:rPr>
          <w:rFonts w:ascii="Garamond" w:hAnsi="Garamond"/>
          <w:bCs/>
          <w:iCs/>
          <w:color w:val="000000" w:themeColor="text1"/>
        </w:rPr>
        <w:t>, 67(3), 365-378.</w:t>
      </w:r>
    </w:p>
    <w:p w14:paraId="2A596FA3" w14:textId="77777777" w:rsidR="009062D1" w:rsidRPr="009062D1" w:rsidRDefault="009062D1" w:rsidP="009062D1">
      <w:pPr>
        <w:ind w:left="360" w:hanging="360"/>
        <w:jc w:val="both"/>
        <w:rPr>
          <w:rFonts w:ascii="Garamond" w:hAnsi="Garamond"/>
          <w:bCs/>
          <w:iCs/>
          <w:color w:val="000000" w:themeColor="text1"/>
        </w:rPr>
      </w:pPr>
      <w:r w:rsidRPr="009062D1">
        <w:rPr>
          <w:rFonts w:ascii="Garamond" w:hAnsi="Garamond"/>
          <w:bCs/>
          <w:iCs/>
          <w:color w:val="000000" w:themeColor="text1"/>
        </w:rPr>
        <w:t xml:space="preserve">Hansen, J. I. C., &amp; Lee, W. V. (2007). Evidence of concurrent validity of SII scores for Asian American college students. </w:t>
      </w:r>
      <w:r w:rsidRPr="009062D1">
        <w:rPr>
          <w:rFonts w:ascii="Garamond" w:hAnsi="Garamond"/>
          <w:bCs/>
          <w:i/>
          <w:iCs/>
          <w:color w:val="000000" w:themeColor="text1"/>
        </w:rPr>
        <w:t>Journal of Career Assessment</w:t>
      </w:r>
      <w:r w:rsidRPr="009062D1">
        <w:rPr>
          <w:rFonts w:ascii="Garamond" w:hAnsi="Garamond"/>
          <w:bCs/>
          <w:iCs/>
          <w:color w:val="000000" w:themeColor="text1"/>
        </w:rPr>
        <w:t>, 15(1), 44-54.</w:t>
      </w:r>
    </w:p>
    <w:p w14:paraId="441C90FD" w14:textId="594AC521" w:rsidR="009062D1" w:rsidRPr="009062D1" w:rsidRDefault="009062D1" w:rsidP="009062D1">
      <w:pPr>
        <w:ind w:left="360" w:hanging="360"/>
        <w:jc w:val="both"/>
        <w:rPr>
          <w:rFonts w:ascii="Garamond" w:hAnsi="Garamond"/>
          <w:bCs/>
          <w:iCs/>
          <w:color w:val="000000" w:themeColor="text1"/>
        </w:rPr>
      </w:pPr>
      <w:r w:rsidRPr="009062D1">
        <w:rPr>
          <w:rFonts w:ascii="Garamond" w:hAnsi="Garamond"/>
          <w:bCs/>
          <w:iCs/>
          <w:color w:val="000000" w:themeColor="text1"/>
        </w:rPr>
        <w:t xml:space="preserve">Hansen, </w:t>
      </w:r>
      <w:r w:rsidR="00EC4BFA" w:rsidRPr="009062D1">
        <w:rPr>
          <w:rFonts w:ascii="Garamond" w:hAnsi="Garamond"/>
          <w:bCs/>
          <w:iCs/>
          <w:color w:val="000000" w:themeColor="text1"/>
        </w:rPr>
        <w:t>J.</w:t>
      </w:r>
      <w:r w:rsidR="00942A41">
        <w:rPr>
          <w:rFonts w:ascii="Garamond" w:hAnsi="Garamond"/>
          <w:bCs/>
          <w:iCs/>
          <w:color w:val="000000" w:themeColor="text1"/>
        </w:rPr>
        <w:t xml:space="preserve"> </w:t>
      </w:r>
      <w:r w:rsidR="00EC4BFA" w:rsidRPr="009062D1">
        <w:rPr>
          <w:rFonts w:ascii="Garamond" w:hAnsi="Garamond"/>
          <w:bCs/>
          <w:iCs/>
          <w:color w:val="000000" w:themeColor="text1"/>
        </w:rPr>
        <w:t>C.,</w:t>
      </w:r>
      <w:r w:rsidRPr="009062D1">
        <w:rPr>
          <w:rFonts w:ascii="Garamond" w:hAnsi="Garamond"/>
          <w:bCs/>
          <w:iCs/>
          <w:color w:val="000000" w:themeColor="text1"/>
        </w:rPr>
        <w:t xml:space="preserve"> &amp; Campbell, D.</w:t>
      </w:r>
      <w:r w:rsidR="00942A41">
        <w:rPr>
          <w:rFonts w:ascii="Garamond" w:hAnsi="Garamond"/>
          <w:bCs/>
          <w:iCs/>
          <w:color w:val="000000" w:themeColor="text1"/>
        </w:rPr>
        <w:t xml:space="preserve"> </w:t>
      </w:r>
      <w:r w:rsidRPr="009062D1">
        <w:rPr>
          <w:rFonts w:ascii="Garamond" w:hAnsi="Garamond"/>
          <w:bCs/>
          <w:iCs/>
          <w:color w:val="000000" w:themeColor="text1"/>
        </w:rPr>
        <w:t xml:space="preserve">P. (1985). </w:t>
      </w:r>
      <w:r w:rsidRPr="009062D1">
        <w:rPr>
          <w:rFonts w:ascii="Garamond" w:hAnsi="Garamond"/>
          <w:bCs/>
          <w:i/>
          <w:iCs/>
          <w:color w:val="000000" w:themeColor="text1"/>
        </w:rPr>
        <w:t>Manual for the SVIB-SCII (4th ed.).</w:t>
      </w:r>
      <w:r w:rsidRPr="009062D1">
        <w:rPr>
          <w:rFonts w:ascii="Garamond" w:hAnsi="Garamond"/>
          <w:bCs/>
          <w:iCs/>
          <w:color w:val="000000" w:themeColor="text1"/>
        </w:rPr>
        <w:t xml:space="preserve"> Stanford, CA: Stanford University Press.</w:t>
      </w:r>
    </w:p>
    <w:p w14:paraId="16F30C69" w14:textId="77777777" w:rsidR="009062D1" w:rsidRPr="009062D1" w:rsidRDefault="009062D1" w:rsidP="009062D1">
      <w:pPr>
        <w:ind w:left="360" w:hanging="360"/>
        <w:jc w:val="both"/>
        <w:rPr>
          <w:rFonts w:ascii="Garamond" w:hAnsi="Garamond"/>
          <w:bCs/>
          <w:iCs/>
          <w:color w:val="000000" w:themeColor="text1"/>
        </w:rPr>
      </w:pPr>
      <w:r w:rsidRPr="009062D1">
        <w:rPr>
          <w:rFonts w:ascii="Garamond" w:hAnsi="Garamond"/>
          <w:bCs/>
          <w:iCs/>
          <w:color w:val="000000" w:themeColor="text1"/>
        </w:rPr>
        <w:t xml:space="preserve">Harris, K. L., &amp; Rottinghaus, P. J. (2017). Vocational interest and personal style patterns: Exploring subjective well-being using the Strong Interest Inventory. </w:t>
      </w:r>
      <w:r w:rsidRPr="009062D1">
        <w:rPr>
          <w:rFonts w:ascii="Garamond" w:hAnsi="Garamond"/>
          <w:bCs/>
          <w:i/>
          <w:iCs/>
          <w:color w:val="000000" w:themeColor="text1"/>
        </w:rPr>
        <w:t>Journal of Career Assessment</w:t>
      </w:r>
      <w:r w:rsidRPr="009062D1">
        <w:rPr>
          <w:rFonts w:ascii="Garamond" w:hAnsi="Garamond"/>
          <w:bCs/>
          <w:iCs/>
          <w:color w:val="000000" w:themeColor="text1"/>
        </w:rPr>
        <w:t>, 25(2), 203-218.</w:t>
      </w:r>
    </w:p>
    <w:p w14:paraId="052FCB1A" w14:textId="77777777" w:rsidR="009062D1" w:rsidRPr="009062D1" w:rsidRDefault="009062D1" w:rsidP="009062D1">
      <w:pPr>
        <w:ind w:left="360" w:hanging="360"/>
        <w:jc w:val="both"/>
        <w:rPr>
          <w:rFonts w:ascii="Garamond" w:hAnsi="Garamond"/>
          <w:bCs/>
          <w:iCs/>
          <w:color w:val="000000" w:themeColor="text1"/>
        </w:rPr>
      </w:pPr>
      <w:r w:rsidRPr="009062D1">
        <w:rPr>
          <w:rFonts w:ascii="Garamond" w:hAnsi="Garamond"/>
          <w:bCs/>
          <w:iCs/>
          <w:color w:val="000000" w:themeColor="text1"/>
        </w:rPr>
        <w:t xml:space="preserve">Holland, J. L. (1959). A theory of occupational choice. </w:t>
      </w:r>
      <w:r w:rsidRPr="009062D1">
        <w:rPr>
          <w:rFonts w:ascii="Garamond" w:hAnsi="Garamond"/>
          <w:bCs/>
          <w:i/>
          <w:iCs/>
          <w:color w:val="000000" w:themeColor="text1"/>
        </w:rPr>
        <w:t>Journal of Counseling Psychology</w:t>
      </w:r>
      <w:r w:rsidRPr="009062D1">
        <w:rPr>
          <w:rFonts w:ascii="Garamond" w:hAnsi="Garamond"/>
          <w:bCs/>
          <w:iCs/>
          <w:color w:val="000000" w:themeColor="text1"/>
        </w:rPr>
        <w:t>, 6, 35– 45.</w:t>
      </w:r>
    </w:p>
    <w:p w14:paraId="158F4557" w14:textId="77777777" w:rsidR="009062D1" w:rsidRPr="009062D1" w:rsidRDefault="009062D1" w:rsidP="009062D1">
      <w:pPr>
        <w:ind w:left="360" w:hanging="360"/>
        <w:jc w:val="both"/>
        <w:rPr>
          <w:rFonts w:ascii="Garamond" w:hAnsi="Garamond"/>
          <w:bCs/>
          <w:iCs/>
          <w:color w:val="000000" w:themeColor="text1"/>
        </w:rPr>
      </w:pPr>
      <w:r w:rsidRPr="009062D1">
        <w:rPr>
          <w:rFonts w:ascii="Garamond" w:hAnsi="Garamond"/>
          <w:bCs/>
          <w:iCs/>
          <w:color w:val="000000" w:themeColor="text1"/>
        </w:rPr>
        <w:t xml:space="preserve">Kane, M. T. (1992). An argument-based approach to validity. </w:t>
      </w:r>
      <w:r w:rsidRPr="009062D1">
        <w:rPr>
          <w:rFonts w:ascii="Garamond" w:hAnsi="Garamond"/>
          <w:bCs/>
          <w:i/>
          <w:iCs/>
          <w:color w:val="000000" w:themeColor="text1"/>
        </w:rPr>
        <w:t>Psychological bulletin</w:t>
      </w:r>
      <w:r w:rsidRPr="009062D1">
        <w:rPr>
          <w:rFonts w:ascii="Garamond" w:hAnsi="Garamond"/>
          <w:bCs/>
          <w:iCs/>
          <w:color w:val="000000" w:themeColor="text1"/>
        </w:rPr>
        <w:t xml:space="preserve">, </w:t>
      </w:r>
      <w:r w:rsidRPr="009062D1">
        <w:rPr>
          <w:rFonts w:ascii="Garamond" w:hAnsi="Garamond"/>
          <w:bCs/>
          <w:i/>
          <w:iCs/>
          <w:color w:val="000000" w:themeColor="text1"/>
        </w:rPr>
        <w:t>112</w:t>
      </w:r>
      <w:r w:rsidRPr="009062D1">
        <w:rPr>
          <w:rFonts w:ascii="Garamond" w:hAnsi="Garamond"/>
          <w:bCs/>
          <w:iCs/>
          <w:color w:val="000000" w:themeColor="text1"/>
        </w:rPr>
        <w:t>(3), 527.</w:t>
      </w:r>
    </w:p>
    <w:p w14:paraId="3463EA7B" w14:textId="77777777" w:rsidR="009062D1" w:rsidRPr="009062D1" w:rsidRDefault="009062D1" w:rsidP="009062D1">
      <w:pPr>
        <w:ind w:left="360" w:hanging="360"/>
        <w:jc w:val="both"/>
        <w:rPr>
          <w:rFonts w:ascii="Garamond" w:hAnsi="Garamond"/>
          <w:bCs/>
          <w:iCs/>
          <w:color w:val="000000" w:themeColor="text1"/>
        </w:rPr>
      </w:pPr>
      <w:r w:rsidRPr="009062D1">
        <w:rPr>
          <w:rFonts w:ascii="Garamond" w:hAnsi="Garamond"/>
          <w:bCs/>
          <w:iCs/>
          <w:color w:val="000000" w:themeColor="text1"/>
        </w:rPr>
        <w:t xml:space="preserve">Kane, M. (2001). Current concerns in validity theory. </w:t>
      </w:r>
      <w:r w:rsidRPr="009062D1">
        <w:rPr>
          <w:rFonts w:ascii="Garamond" w:hAnsi="Garamond"/>
          <w:bCs/>
          <w:i/>
          <w:iCs/>
          <w:color w:val="000000" w:themeColor="text1"/>
        </w:rPr>
        <w:t>Journal of Educational Measurement</w:t>
      </w:r>
      <w:r w:rsidRPr="009062D1">
        <w:rPr>
          <w:rFonts w:ascii="Garamond" w:hAnsi="Garamond"/>
          <w:bCs/>
          <w:iCs/>
          <w:color w:val="000000" w:themeColor="text1"/>
        </w:rPr>
        <w:t>, 38(4), 319-342.</w:t>
      </w:r>
    </w:p>
    <w:p w14:paraId="78273C48" w14:textId="77777777" w:rsidR="009062D1" w:rsidRPr="009062D1" w:rsidRDefault="009062D1" w:rsidP="009062D1">
      <w:pPr>
        <w:ind w:left="360" w:hanging="360"/>
        <w:jc w:val="both"/>
        <w:rPr>
          <w:rFonts w:ascii="Garamond" w:hAnsi="Garamond"/>
          <w:bCs/>
          <w:iCs/>
          <w:color w:val="000000" w:themeColor="text1"/>
          <w:lang w:val="en-CA"/>
        </w:rPr>
      </w:pPr>
      <w:r w:rsidRPr="009062D1">
        <w:rPr>
          <w:rFonts w:ascii="Garamond" w:hAnsi="Garamond"/>
          <w:bCs/>
          <w:iCs/>
          <w:color w:val="000000" w:themeColor="text1"/>
          <w:lang w:val="en-CA"/>
        </w:rPr>
        <w:lastRenderedPageBreak/>
        <w:t xml:space="preserve">Kane, M. T. (2013). Validating the interpretations and uses of test scores. </w:t>
      </w:r>
      <w:r w:rsidRPr="009062D1">
        <w:rPr>
          <w:rFonts w:ascii="Garamond" w:hAnsi="Garamond"/>
          <w:bCs/>
          <w:i/>
          <w:iCs/>
          <w:color w:val="000000" w:themeColor="text1"/>
          <w:lang w:val="en-CA"/>
        </w:rPr>
        <w:t>Journal of educational measurement</w:t>
      </w:r>
      <w:r w:rsidRPr="009062D1">
        <w:rPr>
          <w:rFonts w:ascii="Garamond" w:hAnsi="Garamond"/>
          <w:bCs/>
          <w:iCs/>
          <w:color w:val="000000" w:themeColor="text1"/>
          <w:lang w:val="en-CA"/>
        </w:rPr>
        <w:t xml:space="preserve">, </w:t>
      </w:r>
      <w:r w:rsidRPr="009062D1">
        <w:rPr>
          <w:rFonts w:ascii="Garamond" w:hAnsi="Garamond"/>
          <w:bCs/>
          <w:i/>
          <w:iCs/>
          <w:color w:val="000000" w:themeColor="text1"/>
          <w:lang w:val="en-CA"/>
        </w:rPr>
        <w:t>50</w:t>
      </w:r>
      <w:r w:rsidRPr="009062D1">
        <w:rPr>
          <w:rFonts w:ascii="Garamond" w:hAnsi="Garamond"/>
          <w:bCs/>
          <w:iCs/>
          <w:color w:val="000000" w:themeColor="text1"/>
          <w:lang w:val="en-CA"/>
        </w:rPr>
        <w:t>(1), 1-73.</w:t>
      </w:r>
    </w:p>
    <w:p w14:paraId="1440A0ED" w14:textId="77777777" w:rsidR="009062D1" w:rsidRPr="009062D1" w:rsidRDefault="009062D1" w:rsidP="009062D1">
      <w:pPr>
        <w:ind w:left="360" w:hanging="360"/>
        <w:jc w:val="both"/>
        <w:rPr>
          <w:rFonts w:ascii="Garamond" w:hAnsi="Garamond"/>
          <w:bCs/>
          <w:iCs/>
          <w:color w:val="000000" w:themeColor="text1"/>
        </w:rPr>
      </w:pPr>
      <w:r w:rsidRPr="009062D1">
        <w:rPr>
          <w:rFonts w:ascii="Garamond" w:hAnsi="Garamond"/>
          <w:bCs/>
          <w:iCs/>
          <w:color w:val="000000" w:themeColor="text1"/>
        </w:rPr>
        <w:t xml:space="preserve">Kantamneni, N. (2014). Vocational interest structures for Asian Americans, Middle-Eastern Americans and Native Americans on the 2005 strong interest inventory. </w:t>
      </w:r>
      <w:r w:rsidRPr="009062D1">
        <w:rPr>
          <w:rFonts w:ascii="Garamond" w:hAnsi="Garamond"/>
          <w:bCs/>
          <w:i/>
          <w:iCs/>
          <w:color w:val="000000" w:themeColor="text1"/>
        </w:rPr>
        <w:t>Journal of Vocational Behavior</w:t>
      </w:r>
      <w:r w:rsidRPr="009062D1">
        <w:rPr>
          <w:rFonts w:ascii="Garamond" w:hAnsi="Garamond"/>
          <w:bCs/>
          <w:iCs/>
          <w:color w:val="000000" w:themeColor="text1"/>
        </w:rPr>
        <w:t>, 84(2), 133-141.</w:t>
      </w:r>
    </w:p>
    <w:p w14:paraId="0E6A66DD" w14:textId="77777777" w:rsidR="009062D1" w:rsidRPr="009062D1" w:rsidRDefault="009062D1" w:rsidP="009062D1">
      <w:pPr>
        <w:ind w:left="360" w:hanging="360"/>
        <w:jc w:val="both"/>
        <w:rPr>
          <w:rFonts w:ascii="Garamond" w:hAnsi="Garamond"/>
          <w:bCs/>
          <w:iCs/>
          <w:color w:val="000000" w:themeColor="text1"/>
        </w:rPr>
      </w:pPr>
      <w:r w:rsidRPr="009062D1">
        <w:rPr>
          <w:rFonts w:ascii="Garamond" w:hAnsi="Garamond"/>
          <w:bCs/>
          <w:iCs/>
          <w:color w:val="000000" w:themeColor="text1"/>
        </w:rPr>
        <w:t xml:space="preserve">Kantamneni, N., &amp; Fouad, N. (2011). Structure of vocational interests for diverse groups on the 2005 strong interest inventory. </w:t>
      </w:r>
      <w:r w:rsidRPr="009062D1">
        <w:rPr>
          <w:rFonts w:ascii="Garamond" w:hAnsi="Garamond"/>
          <w:bCs/>
          <w:i/>
          <w:iCs/>
          <w:color w:val="000000" w:themeColor="text1"/>
        </w:rPr>
        <w:t>Journal of Vocational Behavior</w:t>
      </w:r>
      <w:r w:rsidRPr="009062D1">
        <w:rPr>
          <w:rFonts w:ascii="Garamond" w:hAnsi="Garamond"/>
          <w:bCs/>
          <w:iCs/>
          <w:color w:val="000000" w:themeColor="text1"/>
        </w:rPr>
        <w:t>, 78(2), 193-201.</w:t>
      </w:r>
    </w:p>
    <w:p w14:paraId="22F8D9B2" w14:textId="77777777" w:rsidR="009062D1" w:rsidRPr="009062D1" w:rsidRDefault="009062D1" w:rsidP="009062D1">
      <w:pPr>
        <w:ind w:left="360" w:hanging="360"/>
        <w:jc w:val="both"/>
        <w:rPr>
          <w:rFonts w:ascii="Garamond" w:hAnsi="Garamond"/>
          <w:bCs/>
          <w:iCs/>
          <w:color w:val="000000" w:themeColor="text1"/>
        </w:rPr>
      </w:pPr>
      <w:r w:rsidRPr="009062D1">
        <w:rPr>
          <w:rFonts w:ascii="Garamond" w:hAnsi="Garamond"/>
          <w:bCs/>
          <w:iCs/>
          <w:color w:val="000000" w:themeColor="text1"/>
        </w:rPr>
        <w:t xml:space="preserve">Messick, S. (1989). Validity. In R. L. Linn (Ed.), </w:t>
      </w:r>
      <w:r w:rsidRPr="009062D1">
        <w:rPr>
          <w:rFonts w:ascii="Garamond" w:hAnsi="Garamond"/>
          <w:bCs/>
          <w:i/>
          <w:iCs/>
          <w:color w:val="000000" w:themeColor="text1"/>
        </w:rPr>
        <w:t>Educational measurement</w:t>
      </w:r>
      <w:r w:rsidRPr="009062D1">
        <w:rPr>
          <w:rFonts w:ascii="Garamond" w:hAnsi="Garamond"/>
          <w:bCs/>
          <w:iCs/>
          <w:color w:val="000000" w:themeColor="text1"/>
        </w:rPr>
        <w:t xml:space="preserve"> (3rd ed., pp. 13-103). New York: Macmillan</w:t>
      </w:r>
    </w:p>
    <w:p w14:paraId="3FC437FD" w14:textId="67DCBDA3" w:rsidR="009062D1" w:rsidRPr="009062D1" w:rsidRDefault="009062D1" w:rsidP="009062D1">
      <w:pPr>
        <w:ind w:left="360" w:hanging="360"/>
        <w:jc w:val="both"/>
        <w:rPr>
          <w:rFonts w:ascii="Garamond" w:hAnsi="Garamond"/>
          <w:bCs/>
          <w:iCs/>
          <w:color w:val="000000" w:themeColor="text1"/>
        </w:rPr>
      </w:pPr>
      <w:r w:rsidRPr="009062D1">
        <w:rPr>
          <w:rFonts w:ascii="Garamond" w:hAnsi="Garamond"/>
          <w:bCs/>
          <w:iCs/>
          <w:color w:val="000000" w:themeColor="text1"/>
        </w:rPr>
        <w:t xml:space="preserve">Morris, M. L. (2016). Vocational interests in the United States: Sex, age, ethnicity, and year effects. </w:t>
      </w:r>
      <w:r w:rsidRPr="009062D1">
        <w:rPr>
          <w:rFonts w:ascii="Garamond" w:hAnsi="Garamond"/>
          <w:bCs/>
          <w:i/>
          <w:iCs/>
          <w:color w:val="000000" w:themeColor="text1"/>
        </w:rPr>
        <w:t xml:space="preserve">Journal of </w:t>
      </w:r>
      <w:r w:rsidR="00751184">
        <w:rPr>
          <w:rFonts w:ascii="Garamond" w:hAnsi="Garamond"/>
          <w:bCs/>
          <w:i/>
          <w:iCs/>
          <w:color w:val="000000" w:themeColor="text1"/>
        </w:rPr>
        <w:t>C</w:t>
      </w:r>
      <w:r w:rsidRPr="009062D1">
        <w:rPr>
          <w:rFonts w:ascii="Garamond" w:hAnsi="Garamond"/>
          <w:bCs/>
          <w:i/>
          <w:iCs/>
          <w:color w:val="000000" w:themeColor="text1"/>
        </w:rPr>
        <w:t xml:space="preserve">ounseling </w:t>
      </w:r>
      <w:r w:rsidR="00751184">
        <w:rPr>
          <w:rFonts w:ascii="Garamond" w:hAnsi="Garamond"/>
          <w:bCs/>
          <w:i/>
          <w:iCs/>
          <w:color w:val="000000" w:themeColor="text1"/>
        </w:rPr>
        <w:t>P</w:t>
      </w:r>
      <w:r w:rsidRPr="009062D1">
        <w:rPr>
          <w:rFonts w:ascii="Garamond" w:hAnsi="Garamond"/>
          <w:bCs/>
          <w:i/>
          <w:iCs/>
          <w:color w:val="000000" w:themeColor="text1"/>
        </w:rPr>
        <w:t>sychology</w:t>
      </w:r>
      <w:r w:rsidRPr="009062D1">
        <w:rPr>
          <w:rFonts w:ascii="Garamond" w:hAnsi="Garamond"/>
          <w:bCs/>
          <w:iCs/>
          <w:color w:val="000000" w:themeColor="text1"/>
        </w:rPr>
        <w:t>, 63(5), 604.</w:t>
      </w:r>
    </w:p>
    <w:p w14:paraId="65A4B2D5" w14:textId="77777777" w:rsidR="009062D1" w:rsidRPr="009062D1" w:rsidRDefault="009062D1" w:rsidP="009062D1">
      <w:pPr>
        <w:ind w:left="360" w:hanging="360"/>
        <w:jc w:val="both"/>
        <w:rPr>
          <w:rFonts w:ascii="Garamond" w:hAnsi="Garamond"/>
          <w:bCs/>
          <w:iCs/>
          <w:color w:val="000000" w:themeColor="text1"/>
        </w:rPr>
      </w:pPr>
      <w:r w:rsidRPr="009062D1">
        <w:rPr>
          <w:rFonts w:ascii="Garamond" w:hAnsi="Garamond"/>
          <w:bCs/>
          <w:iCs/>
          <w:color w:val="000000" w:themeColor="text1"/>
          <w:lang w:val="en-CA"/>
        </w:rPr>
        <w:t xml:space="preserve">Nye, C. D., Su, R., Rounds, J., &amp; Drasgow, F. (2017). </w:t>
      </w:r>
      <w:r w:rsidRPr="009062D1">
        <w:rPr>
          <w:rFonts w:ascii="Garamond" w:hAnsi="Garamond"/>
          <w:bCs/>
          <w:iCs/>
          <w:color w:val="000000" w:themeColor="text1"/>
        </w:rPr>
        <w:t>Interest congruence and performance: </w:t>
      </w:r>
      <w:r w:rsidRPr="009062D1">
        <w:rPr>
          <w:rFonts w:ascii="Garamond" w:hAnsi="Garamond"/>
          <w:bCs/>
          <w:iCs/>
          <w:color w:val="000000" w:themeColor="text1"/>
        </w:rPr>
        <w:br/>
        <w:t xml:space="preserve">Revisiting recent meta-analytic findings. </w:t>
      </w:r>
      <w:r w:rsidRPr="009062D1">
        <w:rPr>
          <w:rFonts w:ascii="Garamond" w:hAnsi="Garamond"/>
          <w:bCs/>
          <w:i/>
          <w:iCs/>
          <w:color w:val="000000" w:themeColor="text1"/>
        </w:rPr>
        <w:t>Journal of Vocational Behavior</w:t>
      </w:r>
      <w:r w:rsidRPr="009062D1">
        <w:rPr>
          <w:rFonts w:ascii="Garamond" w:hAnsi="Garamond"/>
          <w:bCs/>
          <w:iCs/>
          <w:color w:val="000000" w:themeColor="text1"/>
        </w:rPr>
        <w:t>, 98, 138–151. </w:t>
      </w:r>
    </w:p>
    <w:p w14:paraId="7A6D91FB" w14:textId="77777777" w:rsidR="009062D1" w:rsidRPr="009062D1" w:rsidRDefault="009062D1" w:rsidP="009062D1">
      <w:pPr>
        <w:ind w:left="360" w:hanging="360"/>
        <w:jc w:val="both"/>
        <w:rPr>
          <w:rFonts w:ascii="Garamond" w:hAnsi="Garamond"/>
          <w:bCs/>
          <w:iCs/>
          <w:color w:val="000000" w:themeColor="text1"/>
        </w:rPr>
      </w:pPr>
      <w:r w:rsidRPr="009062D1">
        <w:rPr>
          <w:rFonts w:ascii="Garamond" w:hAnsi="Garamond"/>
          <w:bCs/>
          <w:iCs/>
          <w:color w:val="000000" w:themeColor="text1"/>
        </w:rPr>
        <w:t xml:space="preserve">Pässler, K., Beinicke, A., &amp; Hell, B. (2014). Gender-related differential validity and differential prediction in interest inventories. </w:t>
      </w:r>
      <w:r w:rsidRPr="009062D1">
        <w:rPr>
          <w:rFonts w:ascii="Garamond" w:hAnsi="Garamond"/>
          <w:bCs/>
          <w:i/>
          <w:iCs/>
          <w:color w:val="000000" w:themeColor="text1"/>
        </w:rPr>
        <w:t>Journal of Career Assessment</w:t>
      </w:r>
      <w:r w:rsidRPr="009062D1">
        <w:rPr>
          <w:rFonts w:ascii="Garamond" w:hAnsi="Garamond"/>
          <w:bCs/>
          <w:iCs/>
          <w:color w:val="000000" w:themeColor="text1"/>
        </w:rPr>
        <w:t>, 22(1), 138-152.</w:t>
      </w:r>
    </w:p>
    <w:p w14:paraId="58864D02" w14:textId="0B0F6940" w:rsidR="009062D1" w:rsidRPr="009062D1" w:rsidRDefault="009062D1" w:rsidP="009062D1">
      <w:pPr>
        <w:ind w:left="360" w:hanging="360"/>
        <w:jc w:val="both"/>
        <w:rPr>
          <w:rFonts w:ascii="Garamond" w:hAnsi="Garamond"/>
          <w:bCs/>
          <w:iCs/>
          <w:color w:val="000000" w:themeColor="text1"/>
        </w:rPr>
      </w:pPr>
      <w:r w:rsidRPr="009062D1">
        <w:rPr>
          <w:rFonts w:ascii="Garamond" w:hAnsi="Garamond"/>
          <w:bCs/>
          <w:iCs/>
          <w:color w:val="000000" w:themeColor="text1"/>
        </w:rPr>
        <w:t xml:space="preserve">Pirutinsky, S. (2013). Career assessment of ultraorthodox </w:t>
      </w:r>
      <w:r w:rsidR="00EC4BFA" w:rsidRPr="009062D1">
        <w:rPr>
          <w:rFonts w:ascii="Garamond" w:hAnsi="Garamond"/>
          <w:bCs/>
          <w:iCs/>
          <w:color w:val="000000" w:themeColor="text1"/>
        </w:rPr>
        <w:t>Jewish</w:t>
      </w:r>
      <w:r w:rsidRPr="009062D1">
        <w:rPr>
          <w:rFonts w:ascii="Garamond" w:hAnsi="Garamond"/>
          <w:bCs/>
          <w:iCs/>
          <w:color w:val="000000" w:themeColor="text1"/>
        </w:rPr>
        <w:t xml:space="preserve"> men: Reliability, validity, and results of the strong interest inventory. </w:t>
      </w:r>
      <w:r w:rsidRPr="009062D1">
        <w:rPr>
          <w:rFonts w:ascii="Garamond" w:hAnsi="Garamond"/>
          <w:bCs/>
          <w:i/>
          <w:iCs/>
          <w:color w:val="000000" w:themeColor="text1"/>
        </w:rPr>
        <w:t>Journal of Career Assessment</w:t>
      </w:r>
      <w:r w:rsidRPr="009062D1">
        <w:rPr>
          <w:rFonts w:ascii="Garamond" w:hAnsi="Garamond"/>
          <w:bCs/>
          <w:iCs/>
          <w:color w:val="000000" w:themeColor="text1"/>
        </w:rPr>
        <w:t>, 21(2), 326-336.</w:t>
      </w:r>
    </w:p>
    <w:p w14:paraId="3345251D" w14:textId="77777777" w:rsidR="009062D1" w:rsidRPr="009062D1" w:rsidRDefault="009062D1" w:rsidP="009062D1">
      <w:pPr>
        <w:ind w:left="360" w:hanging="360"/>
        <w:jc w:val="both"/>
        <w:rPr>
          <w:rFonts w:ascii="Garamond" w:hAnsi="Garamond"/>
          <w:bCs/>
          <w:iCs/>
          <w:color w:val="000000" w:themeColor="text1"/>
        </w:rPr>
      </w:pPr>
      <w:r w:rsidRPr="009062D1">
        <w:rPr>
          <w:rFonts w:ascii="Garamond" w:hAnsi="Garamond"/>
          <w:bCs/>
          <w:iCs/>
          <w:color w:val="000000" w:themeColor="text1"/>
        </w:rPr>
        <w:t>Ralston, C. A., Borgen, F. H., Rottinghaus, P. J., &amp; Donnay, D. A. (2004). Specificity in interest measurement: Basic Interest Scales and major field of study</w:t>
      </w:r>
      <w:r w:rsidRPr="009062D1">
        <w:rPr>
          <w:rFonts w:ascii="Garamond" w:hAnsi="Garamond"/>
          <w:bCs/>
          <w:i/>
          <w:iCs/>
          <w:color w:val="000000" w:themeColor="text1"/>
        </w:rPr>
        <w:t>. Journal of Vocational Behavior</w:t>
      </w:r>
      <w:r w:rsidRPr="009062D1">
        <w:rPr>
          <w:rFonts w:ascii="Garamond" w:hAnsi="Garamond"/>
          <w:bCs/>
          <w:iCs/>
          <w:color w:val="000000" w:themeColor="text1"/>
        </w:rPr>
        <w:t>, 65(2), 203-216.</w:t>
      </w:r>
    </w:p>
    <w:p w14:paraId="7EAD85C6" w14:textId="77777777" w:rsidR="009062D1" w:rsidRPr="009062D1" w:rsidRDefault="009062D1" w:rsidP="009062D1">
      <w:pPr>
        <w:ind w:left="360" w:hanging="360"/>
        <w:jc w:val="both"/>
        <w:rPr>
          <w:rFonts w:ascii="Garamond" w:hAnsi="Garamond"/>
          <w:bCs/>
          <w:iCs/>
          <w:color w:val="000000" w:themeColor="text1"/>
        </w:rPr>
      </w:pPr>
      <w:r w:rsidRPr="009062D1">
        <w:rPr>
          <w:rFonts w:ascii="Garamond" w:hAnsi="Garamond"/>
          <w:bCs/>
          <w:iCs/>
          <w:color w:val="000000" w:themeColor="text1"/>
        </w:rPr>
        <w:t xml:space="preserve">Sackett, P. R., Zhang, C., Berry, C. M., &amp; Lievens, F. (2022). Revisiting meta-analytic estimates of validity in personnel selection: Addressing systematic overcorrection for restriction of range. </w:t>
      </w:r>
      <w:r w:rsidRPr="009062D1">
        <w:rPr>
          <w:rFonts w:ascii="Garamond" w:hAnsi="Garamond"/>
          <w:bCs/>
          <w:i/>
          <w:iCs/>
          <w:color w:val="000000" w:themeColor="text1"/>
        </w:rPr>
        <w:t>Journal of Applied Psychology</w:t>
      </w:r>
      <w:r w:rsidRPr="009062D1">
        <w:rPr>
          <w:rFonts w:ascii="Garamond" w:hAnsi="Garamond"/>
          <w:bCs/>
          <w:iCs/>
          <w:color w:val="000000" w:themeColor="text1"/>
        </w:rPr>
        <w:t>, 107(11), 2040.</w:t>
      </w:r>
    </w:p>
    <w:p w14:paraId="61F1FEA1" w14:textId="77777777" w:rsidR="009062D1" w:rsidRPr="009062D1" w:rsidRDefault="009062D1" w:rsidP="009062D1">
      <w:pPr>
        <w:ind w:left="360" w:hanging="360"/>
        <w:jc w:val="both"/>
        <w:rPr>
          <w:rFonts w:ascii="Garamond" w:hAnsi="Garamond"/>
          <w:bCs/>
          <w:iCs/>
          <w:color w:val="000000" w:themeColor="text1"/>
        </w:rPr>
      </w:pPr>
      <w:r w:rsidRPr="009062D1">
        <w:rPr>
          <w:rFonts w:ascii="Garamond" w:hAnsi="Garamond"/>
          <w:bCs/>
          <w:iCs/>
          <w:color w:val="000000" w:themeColor="text1"/>
        </w:rPr>
        <w:t xml:space="preserve">Schaubhut, N. A., Donnay, D. A., Gasser, C. E., &amp; Borgen, F. H. (2004). </w:t>
      </w:r>
      <w:r w:rsidRPr="009062D1">
        <w:rPr>
          <w:rFonts w:ascii="Garamond" w:hAnsi="Garamond"/>
          <w:bCs/>
          <w:i/>
          <w:iCs/>
          <w:color w:val="000000" w:themeColor="text1"/>
        </w:rPr>
        <w:t>Validity of 2004 SII: Gender and ethnicity effects</w:t>
      </w:r>
      <w:r w:rsidRPr="009062D1">
        <w:rPr>
          <w:rFonts w:ascii="Garamond" w:hAnsi="Garamond"/>
          <w:bCs/>
          <w:iCs/>
          <w:color w:val="000000" w:themeColor="text1"/>
        </w:rPr>
        <w:t>. In Poster presented at the Annual Convention of the American Psychological Association, Honolulu, HI.</w:t>
      </w:r>
    </w:p>
    <w:p w14:paraId="1BC25084" w14:textId="77777777" w:rsidR="009062D1" w:rsidRPr="009062D1" w:rsidRDefault="009062D1" w:rsidP="009062D1">
      <w:pPr>
        <w:ind w:left="360" w:hanging="360"/>
        <w:jc w:val="both"/>
        <w:rPr>
          <w:rFonts w:ascii="Garamond" w:hAnsi="Garamond"/>
          <w:bCs/>
          <w:iCs/>
          <w:color w:val="000000" w:themeColor="text1"/>
        </w:rPr>
      </w:pPr>
      <w:r w:rsidRPr="009062D1">
        <w:rPr>
          <w:rFonts w:ascii="Garamond" w:hAnsi="Garamond"/>
          <w:bCs/>
          <w:iCs/>
          <w:color w:val="000000" w:themeColor="text1"/>
        </w:rPr>
        <w:t xml:space="preserve">Sireci, S. G. (2013). Agreeing on validity arguments. </w:t>
      </w:r>
      <w:r w:rsidRPr="009062D1">
        <w:rPr>
          <w:rFonts w:ascii="Garamond" w:hAnsi="Garamond"/>
          <w:bCs/>
          <w:i/>
          <w:iCs/>
          <w:color w:val="000000" w:themeColor="text1"/>
        </w:rPr>
        <w:t>Journal of Educational Measurement</w:t>
      </w:r>
      <w:r w:rsidRPr="009062D1">
        <w:rPr>
          <w:rFonts w:ascii="Garamond" w:hAnsi="Garamond"/>
          <w:bCs/>
          <w:iCs/>
          <w:color w:val="000000" w:themeColor="text1"/>
        </w:rPr>
        <w:t>, 50(1), 99-104.</w:t>
      </w:r>
    </w:p>
    <w:p w14:paraId="08978C42" w14:textId="77777777" w:rsidR="009062D1" w:rsidRPr="009062D1" w:rsidRDefault="009062D1" w:rsidP="009062D1">
      <w:pPr>
        <w:ind w:left="360" w:hanging="360"/>
        <w:jc w:val="both"/>
        <w:rPr>
          <w:rFonts w:ascii="Garamond" w:hAnsi="Garamond"/>
          <w:bCs/>
          <w:iCs/>
          <w:color w:val="000000" w:themeColor="text1"/>
        </w:rPr>
      </w:pPr>
      <w:r w:rsidRPr="009062D1">
        <w:rPr>
          <w:rFonts w:ascii="Garamond" w:hAnsi="Garamond"/>
          <w:bCs/>
          <w:iCs/>
          <w:color w:val="000000" w:themeColor="text1"/>
        </w:rPr>
        <w:t xml:space="preserve">Sireci, S. &amp; Benitez, I. (2022). Evidence for test validation: A guide for practitioners. </w:t>
      </w:r>
      <w:r w:rsidRPr="009062D1">
        <w:rPr>
          <w:rFonts w:ascii="Garamond" w:hAnsi="Garamond"/>
          <w:bCs/>
          <w:i/>
          <w:iCs/>
          <w:color w:val="000000" w:themeColor="text1"/>
        </w:rPr>
        <w:t>Psicothema</w:t>
      </w:r>
      <w:r w:rsidRPr="009062D1">
        <w:rPr>
          <w:rFonts w:ascii="Garamond" w:hAnsi="Garamond"/>
          <w:bCs/>
          <w:iCs/>
          <w:color w:val="000000" w:themeColor="text1"/>
        </w:rPr>
        <w:t>, 335(3), 217-226.</w:t>
      </w:r>
    </w:p>
    <w:p w14:paraId="38EC6B36" w14:textId="77777777" w:rsidR="009062D1" w:rsidRPr="009062D1" w:rsidRDefault="009062D1" w:rsidP="009062D1">
      <w:pPr>
        <w:ind w:left="360" w:hanging="360"/>
        <w:jc w:val="both"/>
        <w:rPr>
          <w:rFonts w:ascii="Garamond" w:hAnsi="Garamond"/>
          <w:bCs/>
          <w:iCs/>
          <w:color w:val="000000" w:themeColor="text1"/>
        </w:rPr>
      </w:pPr>
      <w:r w:rsidRPr="009062D1">
        <w:rPr>
          <w:rFonts w:ascii="Garamond" w:hAnsi="Garamond"/>
          <w:bCs/>
          <w:iCs/>
          <w:color w:val="000000" w:themeColor="text1"/>
        </w:rPr>
        <w:t xml:space="preserve">Shear, B.R., Zumbo, B.D. (2014). What counts as evidence: A review of validity studies in educational and psychological measurement. In: Zumbo, B.D., Chan, E.K.H. (eds) </w:t>
      </w:r>
      <w:r w:rsidRPr="009062D1">
        <w:rPr>
          <w:rFonts w:ascii="Garamond" w:hAnsi="Garamond"/>
          <w:bCs/>
          <w:i/>
          <w:iCs/>
          <w:color w:val="000000" w:themeColor="text1"/>
        </w:rPr>
        <w:t>Validity and validation in social, behavioral, and health sciences</w:t>
      </w:r>
      <w:r w:rsidRPr="009062D1">
        <w:rPr>
          <w:rFonts w:ascii="Garamond" w:hAnsi="Garamond"/>
          <w:bCs/>
          <w:iCs/>
          <w:color w:val="000000" w:themeColor="text1"/>
        </w:rPr>
        <w:t xml:space="preserve"> (pp. 91-111). Springer, Cham.</w:t>
      </w:r>
    </w:p>
    <w:p w14:paraId="60D9C909" w14:textId="77777777" w:rsidR="009062D1" w:rsidRPr="009062D1" w:rsidRDefault="009062D1" w:rsidP="009062D1">
      <w:pPr>
        <w:ind w:left="360" w:hanging="360"/>
        <w:jc w:val="both"/>
        <w:rPr>
          <w:rFonts w:ascii="Garamond" w:hAnsi="Garamond"/>
          <w:bCs/>
          <w:iCs/>
          <w:color w:val="000000" w:themeColor="text1"/>
        </w:rPr>
      </w:pPr>
      <w:r w:rsidRPr="009062D1">
        <w:rPr>
          <w:rFonts w:ascii="Garamond" w:hAnsi="Garamond"/>
          <w:bCs/>
          <w:iCs/>
          <w:color w:val="000000" w:themeColor="text1"/>
        </w:rPr>
        <w:t xml:space="preserve">Strong, E. K. (1927). Vocational Interest Test. </w:t>
      </w:r>
      <w:r w:rsidRPr="009062D1">
        <w:rPr>
          <w:rFonts w:ascii="Garamond" w:hAnsi="Garamond"/>
          <w:bCs/>
          <w:i/>
          <w:iCs/>
          <w:color w:val="000000" w:themeColor="text1"/>
        </w:rPr>
        <w:t>Educational Record</w:t>
      </w:r>
      <w:r w:rsidRPr="009062D1">
        <w:rPr>
          <w:rFonts w:ascii="Garamond" w:hAnsi="Garamond"/>
          <w:bCs/>
          <w:iCs/>
          <w:color w:val="000000" w:themeColor="text1"/>
        </w:rPr>
        <w:t>, 8, 107-121.</w:t>
      </w:r>
    </w:p>
    <w:p w14:paraId="1E0256FB" w14:textId="09B1DB98" w:rsidR="009062D1" w:rsidRPr="009062D1" w:rsidRDefault="009062D1" w:rsidP="009062D1">
      <w:pPr>
        <w:ind w:left="360" w:hanging="360"/>
        <w:jc w:val="both"/>
        <w:rPr>
          <w:rFonts w:ascii="Garamond" w:hAnsi="Garamond"/>
          <w:bCs/>
          <w:iCs/>
          <w:color w:val="000000" w:themeColor="text1"/>
        </w:rPr>
      </w:pPr>
      <w:r w:rsidRPr="009062D1">
        <w:rPr>
          <w:rFonts w:ascii="Garamond" w:hAnsi="Garamond"/>
          <w:bCs/>
          <w:iCs/>
          <w:color w:val="000000" w:themeColor="text1"/>
        </w:rPr>
        <w:t xml:space="preserve">Tak, J. (2004). Structure of vocational interests for Korean college students. </w:t>
      </w:r>
      <w:r w:rsidRPr="009062D1">
        <w:rPr>
          <w:rFonts w:ascii="Garamond" w:hAnsi="Garamond"/>
          <w:bCs/>
          <w:i/>
          <w:iCs/>
          <w:color w:val="000000" w:themeColor="text1"/>
        </w:rPr>
        <w:t xml:space="preserve">Journal of </w:t>
      </w:r>
      <w:r w:rsidR="00751184">
        <w:rPr>
          <w:rFonts w:ascii="Garamond" w:hAnsi="Garamond"/>
          <w:bCs/>
          <w:i/>
          <w:iCs/>
          <w:color w:val="000000" w:themeColor="text1"/>
        </w:rPr>
        <w:t>C</w:t>
      </w:r>
      <w:r w:rsidRPr="009062D1">
        <w:rPr>
          <w:rFonts w:ascii="Garamond" w:hAnsi="Garamond"/>
          <w:bCs/>
          <w:i/>
          <w:iCs/>
          <w:color w:val="000000" w:themeColor="text1"/>
        </w:rPr>
        <w:t xml:space="preserve">areer </w:t>
      </w:r>
      <w:r w:rsidR="00751184">
        <w:rPr>
          <w:rFonts w:ascii="Garamond" w:hAnsi="Garamond"/>
          <w:bCs/>
          <w:i/>
          <w:iCs/>
          <w:color w:val="000000" w:themeColor="text1"/>
        </w:rPr>
        <w:t>A</w:t>
      </w:r>
      <w:r w:rsidRPr="009062D1">
        <w:rPr>
          <w:rFonts w:ascii="Garamond" w:hAnsi="Garamond"/>
          <w:bCs/>
          <w:i/>
          <w:iCs/>
          <w:color w:val="000000" w:themeColor="text1"/>
        </w:rPr>
        <w:t>ssessment</w:t>
      </w:r>
      <w:r w:rsidRPr="009062D1">
        <w:rPr>
          <w:rFonts w:ascii="Garamond" w:hAnsi="Garamond"/>
          <w:bCs/>
          <w:iCs/>
          <w:color w:val="000000" w:themeColor="text1"/>
        </w:rPr>
        <w:t>, 12(3), 298-311.</w:t>
      </w:r>
    </w:p>
    <w:p w14:paraId="5ACFA68F" w14:textId="77777777" w:rsidR="009062D1" w:rsidRPr="009062D1" w:rsidRDefault="009062D1" w:rsidP="009062D1">
      <w:pPr>
        <w:ind w:left="360" w:hanging="360"/>
        <w:jc w:val="both"/>
        <w:rPr>
          <w:rFonts w:ascii="Garamond" w:hAnsi="Garamond"/>
          <w:bCs/>
          <w:iCs/>
          <w:color w:val="000000" w:themeColor="text1"/>
        </w:rPr>
      </w:pPr>
      <w:r w:rsidRPr="009062D1">
        <w:rPr>
          <w:rFonts w:ascii="Garamond" w:hAnsi="Garamond"/>
          <w:bCs/>
          <w:iCs/>
          <w:color w:val="000000" w:themeColor="text1"/>
        </w:rPr>
        <w:t xml:space="preserve">Yang, Y., Morris, M. L., &amp; Protolipac, D. S. (2018). Simplified Chinese version of the Strong Interest Inventory®: Structure and psychometric properties. </w:t>
      </w:r>
      <w:r w:rsidRPr="009062D1">
        <w:rPr>
          <w:rFonts w:ascii="Garamond" w:hAnsi="Garamond"/>
          <w:bCs/>
          <w:i/>
          <w:iCs/>
          <w:color w:val="000000" w:themeColor="text1"/>
        </w:rPr>
        <w:t>Journal of Vocational Behavior</w:t>
      </w:r>
      <w:r w:rsidRPr="009062D1">
        <w:rPr>
          <w:rFonts w:ascii="Garamond" w:hAnsi="Garamond"/>
          <w:bCs/>
          <w:iCs/>
          <w:color w:val="000000" w:themeColor="text1"/>
        </w:rPr>
        <w:t>, 108, 214-226.</w:t>
      </w:r>
    </w:p>
    <w:p w14:paraId="6B35B1CF" w14:textId="77777777" w:rsidR="009062D1" w:rsidRPr="009062D1" w:rsidRDefault="009062D1" w:rsidP="009062D1">
      <w:pPr>
        <w:ind w:left="360" w:hanging="360"/>
        <w:jc w:val="both"/>
        <w:rPr>
          <w:rFonts w:ascii="Garamond" w:hAnsi="Garamond"/>
          <w:bCs/>
          <w:iCs/>
          <w:color w:val="000000" w:themeColor="text1"/>
        </w:rPr>
      </w:pPr>
      <w:r w:rsidRPr="009062D1">
        <w:rPr>
          <w:rFonts w:ascii="Garamond" w:hAnsi="Garamond"/>
          <w:bCs/>
          <w:iCs/>
          <w:color w:val="000000" w:themeColor="text1"/>
        </w:rPr>
        <w:t xml:space="preserve">Zumbo, B. D. (2006). Validity: foundational issues and statistical methodology. </w:t>
      </w:r>
      <w:r w:rsidRPr="009062D1">
        <w:rPr>
          <w:rFonts w:ascii="Garamond" w:hAnsi="Garamond"/>
          <w:bCs/>
          <w:i/>
          <w:iCs/>
          <w:color w:val="000000" w:themeColor="text1"/>
        </w:rPr>
        <w:t>Handbook of statistics</w:t>
      </w:r>
      <w:r w:rsidRPr="009062D1">
        <w:rPr>
          <w:rFonts w:ascii="Garamond" w:hAnsi="Garamond"/>
          <w:bCs/>
          <w:iCs/>
          <w:color w:val="000000" w:themeColor="text1"/>
        </w:rPr>
        <w:t>, 26, 45-79.</w:t>
      </w:r>
    </w:p>
    <w:p w14:paraId="05F347B1" w14:textId="77777777" w:rsidR="009062D1" w:rsidRPr="009062D1" w:rsidRDefault="009062D1" w:rsidP="009062D1">
      <w:pPr>
        <w:ind w:left="360" w:hanging="360"/>
        <w:jc w:val="both"/>
        <w:rPr>
          <w:rFonts w:ascii="Garamond" w:hAnsi="Garamond"/>
          <w:bCs/>
          <w:iCs/>
          <w:color w:val="000000" w:themeColor="text1"/>
        </w:rPr>
      </w:pPr>
      <w:r w:rsidRPr="009062D1">
        <w:rPr>
          <w:rFonts w:ascii="Garamond" w:hAnsi="Garamond"/>
          <w:bCs/>
          <w:iCs/>
          <w:color w:val="000000" w:themeColor="text1"/>
        </w:rPr>
        <w:t xml:space="preserve">Zumbo, B. D. (2023). A dialectic on validity: Explanation-focused and the many ways of being human. </w:t>
      </w:r>
      <w:r w:rsidRPr="009062D1">
        <w:rPr>
          <w:rFonts w:ascii="Garamond" w:hAnsi="Garamond"/>
          <w:bCs/>
          <w:i/>
          <w:iCs/>
          <w:color w:val="000000" w:themeColor="text1"/>
        </w:rPr>
        <w:t>International Journal of Assessment Tools in Education</w:t>
      </w:r>
      <w:r w:rsidRPr="009062D1">
        <w:rPr>
          <w:rFonts w:ascii="Garamond" w:hAnsi="Garamond"/>
          <w:bCs/>
          <w:iCs/>
          <w:color w:val="000000" w:themeColor="text1"/>
        </w:rPr>
        <w:t>, 10(Special Issue), 1-96.</w:t>
      </w:r>
    </w:p>
    <w:p w14:paraId="6111FD95" w14:textId="77777777" w:rsidR="009062D1" w:rsidRPr="009062D1" w:rsidRDefault="009062D1" w:rsidP="009062D1">
      <w:pPr>
        <w:ind w:left="360" w:hanging="360"/>
        <w:jc w:val="both"/>
        <w:rPr>
          <w:rFonts w:ascii="Garamond" w:hAnsi="Garamond"/>
          <w:bCs/>
          <w:iCs/>
          <w:color w:val="000000" w:themeColor="text1"/>
        </w:rPr>
      </w:pPr>
      <w:r w:rsidRPr="009062D1">
        <w:rPr>
          <w:rFonts w:ascii="Garamond" w:hAnsi="Garamond"/>
          <w:bCs/>
          <w:iCs/>
          <w:color w:val="000000" w:themeColor="text1"/>
        </w:rPr>
        <w:t xml:space="preserve">Zumbo, B. D. (2024). </w:t>
      </w:r>
      <w:r w:rsidRPr="009062D1">
        <w:rPr>
          <w:rFonts w:ascii="Garamond" w:hAnsi="Garamond"/>
          <w:bCs/>
          <w:i/>
          <w:iCs/>
          <w:color w:val="000000" w:themeColor="text1"/>
        </w:rPr>
        <w:t>The Concept of Validity</w:t>
      </w:r>
      <w:r w:rsidRPr="009062D1">
        <w:rPr>
          <w:rFonts w:ascii="Garamond" w:hAnsi="Garamond"/>
          <w:bCs/>
          <w:iCs/>
          <w:color w:val="000000" w:themeColor="text1"/>
        </w:rPr>
        <w:t xml:space="preserve"> [Class handout]. University of British Columbia, EPSE681A.</w:t>
      </w:r>
    </w:p>
    <w:p w14:paraId="48E26BBF" w14:textId="572E5B66" w:rsidR="00892FAF" w:rsidRPr="009062D1" w:rsidRDefault="00892FAF" w:rsidP="00920B76">
      <w:pPr>
        <w:rPr>
          <w:rFonts w:ascii="Garamond" w:hAnsi="Garamond"/>
          <w:b/>
          <w:iCs/>
          <w:color w:val="000000" w:themeColor="text1"/>
          <w:sz w:val="20"/>
          <w:szCs w:val="20"/>
          <w:lang w:val="en-GB"/>
        </w:rPr>
      </w:pPr>
    </w:p>
    <w:sectPr w:rsidR="00892FAF" w:rsidRPr="009062D1" w:rsidSect="000113BB">
      <w:headerReference w:type="default" r:id="rId19"/>
      <w:headerReference w:type="first" r:id="rId20"/>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91D0D" w14:textId="77777777" w:rsidR="003C4DE9" w:rsidRDefault="003C4DE9" w:rsidP="00030D7A">
      <w:r>
        <w:separator/>
      </w:r>
    </w:p>
  </w:endnote>
  <w:endnote w:type="continuationSeparator" w:id="0">
    <w:p w14:paraId="21A2EDD7" w14:textId="77777777" w:rsidR="003C4DE9" w:rsidRDefault="003C4DE9" w:rsidP="00030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98063" w14:textId="69DB574F" w:rsidR="00111C0C" w:rsidRPr="00030D7A" w:rsidRDefault="00111C0C" w:rsidP="00111C0C">
    <w:pPr>
      <w:rPr>
        <w:rFonts w:ascii="Garamond" w:hAnsi="Garamond"/>
        <w:bCs/>
        <w:sz w:val="20"/>
        <w:szCs w:val="20"/>
      </w:rPr>
    </w:pPr>
    <w:r w:rsidRPr="00030D7A">
      <w:rPr>
        <w:rFonts w:ascii="Garamond" w:hAnsi="Garamond"/>
        <w:bCs/>
        <w:sz w:val="20"/>
        <w:szCs w:val="20"/>
      </w:rPr>
      <w:t>This is an open-access article distributed under the terms of the Creative Commons Attribution 4.0 International License (CC-BY-4.0), which permits unrestricted use, distribution, and reproduction in any m</w:t>
    </w:r>
    <w:r>
      <w:rPr>
        <w:rFonts w:ascii="Garamond" w:hAnsi="Garamond"/>
        <w:bCs/>
        <w:sz w:val="20"/>
        <w:szCs w:val="20"/>
      </w:rPr>
      <w:t>e</w:t>
    </w:r>
    <w:r w:rsidRPr="00030D7A">
      <w:rPr>
        <w:rFonts w:ascii="Garamond" w:hAnsi="Garamond"/>
        <w:bCs/>
        <w:sz w:val="20"/>
        <w:szCs w:val="20"/>
      </w:rPr>
      <w:t>dium, provided the original aut</w:t>
    </w:r>
    <w:r>
      <w:rPr>
        <w:rFonts w:ascii="Garamond" w:hAnsi="Garamond"/>
        <w:bCs/>
        <w:sz w:val="20"/>
        <w:szCs w:val="20"/>
      </w:rPr>
      <w:t>h</w:t>
    </w:r>
    <w:r w:rsidRPr="00030D7A">
      <w:rPr>
        <w:rFonts w:ascii="Garamond" w:hAnsi="Garamond"/>
        <w:bCs/>
        <w:sz w:val="20"/>
        <w:szCs w:val="20"/>
      </w:rPr>
      <w:t xml:space="preserve">or and source are credited. See </w:t>
    </w:r>
    <w:hyperlink r:id="rId1" w:history="1">
      <w:r w:rsidRPr="00030D7A">
        <w:rPr>
          <w:rStyle w:val="Hyperlink"/>
          <w:rFonts w:ascii="Garamond" w:hAnsi="Garamond"/>
          <w:bCs/>
          <w:sz w:val="20"/>
          <w:szCs w:val="20"/>
        </w:rPr>
        <w:t>https://creativecommons.org/licenses/by/4.0/</w:t>
      </w:r>
    </w:hyperlink>
    <w:r w:rsidRPr="00030D7A">
      <w:rPr>
        <w:rFonts w:ascii="Garamond" w:hAnsi="Garamond"/>
        <w:bCs/>
        <w:sz w:val="20"/>
        <w:szCs w:val="20"/>
      </w:rPr>
      <w:t xml:space="preserve"> </w:t>
    </w:r>
  </w:p>
  <w:p w14:paraId="54C4E747" w14:textId="2505A453" w:rsidR="00111C0C" w:rsidRPr="00111C0C" w:rsidRDefault="00111C0C" w:rsidP="00111C0C">
    <w:pPr>
      <w:rPr>
        <w:rFonts w:ascii="Garamond" w:hAnsi="Garamond"/>
        <w:bCs/>
        <w:sz w:val="20"/>
        <w:szCs w:val="20"/>
      </w:rPr>
    </w:pPr>
    <w:r w:rsidRPr="00681A9A">
      <w:rPr>
        <w:noProof/>
        <w:lang w:val="en-CA" w:eastAsia="zh-CN"/>
      </w:rPr>
      <w:drawing>
        <wp:inline distT="0" distB="0" distL="0" distR="0" wp14:anchorId="47666D69" wp14:editId="3F80270B">
          <wp:extent cx="128270" cy="128270"/>
          <wp:effectExtent l="0" t="0" r="0" b="0"/>
          <wp:docPr id="1257412459" name="Graphic 1" descr="Unlock with solid fi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 descr="Unlock with solid fill"/>
                  <pic:cNvPicPr>
                    <a:picLocks/>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a:ln>
                    <a:noFill/>
                  </a:ln>
                </pic:spPr>
              </pic:pic>
            </a:graphicData>
          </a:graphic>
        </wp:inline>
      </w:drawing>
    </w:r>
    <w:r w:rsidRPr="00030D7A">
      <w:rPr>
        <w:rFonts w:ascii="Garamond" w:hAnsi="Garamond"/>
        <w:bCs/>
        <w:sz w:val="20"/>
        <w:szCs w:val="20"/>
      </w:rPr>
      <w:t>OPEN ACCESS.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EF389" w14:textId="253450F2" w:rsidR="008D4287" w:rsidRPr="00111C0C" w:rsidRDefault="008D4287" w:rsidP="00111C0C">
    <w:pPr>
      <w:rPr>
        <w:rFonts w:ascii="Garamond" w:hAnsi="Garamond"/>
        <w:b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6D429" w14:textId="77777777" w:rsidR="003C4DE9" w:rsidRDefault="003C4DE9" w:rsidP="00030D7A">
      <w:r>
        <w:separator/>
      </w:r>
    </w:p>
  </w:footnote>
  <w:footnote w:type="continuationSeparator" w:id="0">
    <w:p w14:paraId="74DDFE60" w14:textId="77777777" w:rsidR="003C4DE9" w:rsidRDefault="003C4DE9" w:rsidP="00030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34013" w14:textId="5C75A336" w:rsidR="00EC4BFA" w:rsidRPr="0070774A" w:rsidRDefault="00EC4BFA" w:rsidP="00EC4BFA">
    <w:pPr>
      <w:pBdr>
        <w:bottom w:val="single" w:sz="6" w:space="1" w:color="auto"/>
      </w:pBdr>
      <w:tabs>
        <w:tab w:val="right" w:pos="10710"/>
      </w:tabs>
      <w:rPr>
        <w:rFonts w:ascii="Garamond" w:hAnsi="Garamond"/>
        <w:color w:val="040404"/>
      </w:rPr>
    </w:pPr>
    <w:r w:rsidRPr="00F77ED8">
      <w:rPr>
        <w:rFonts w:ascii="Garamond" w:hAnsi="Garamond" w:cs="Garamond"/>
        <w:i/>
        <w:iCs/>
      </w:rPr>
      <w:t>Practical Assessment, Research</w:t>
    </w:r>
    <w:r>
      <w:rPr>
        <w:rFonts w:ascii="Garamond" w:hAnsi="Garamond" w:cs="Garamond"/>
        <w:i/>
        <w:iCs/>
      </w:rPr>
      <w:t>, and</w:t>
    </w:r>
    <w:r w:rsidRPr="00F77ED8">
      <w:rPr>
        <w:rFonts w:ascii="Garamond" w:hAnsi="Garamond" w:cs="Garamond"/>
        <w:i/>
        <w:iCs/>
      </w:rPr>
      <w:t xml:space="preserve"> Evaluation, Vol</w:t>
    </w:r>
    <w:r>
      <w:rPr>
        <w:rFonts w:ascii="Garamond" w:hAnsi="Garamond" w:cs="Garamond"/>
        <w:i/>
        <w:iCs/>
      </w:rPr>
      <w:t>.</w:t>
    </w:r>
    <w:r w:rsidRPr="00F77ED8">
      <w:rPr>
        <w:rFonts w:ascii="Garamond" w:hAnsi="Garamond" w:cs="Garamond"/>
        <w:i/>
        <w:iCs/>
      </w:rPr>
      <w:t xml:space="preserve"> </w:t>
    </w:r>
    <w:r>
      <w:rPr>
        <w:rFonts w:ascii="Garamond" w:hAnsi="Garamond" w:cs="Garamond"/>
        <w:i/>
        <w:iCs/>
      </w:rPr>
      <w:t>30,</w:t>
    </w:r>
    <w:r w:rsidRPr="00F77ED8">
      <w:rPr>
        <w:rFonts w:ascii="Garamond" w:hAnsi="Garamond" w:cs="Garamond"/>
        <w:i/>
        <w:iCs/>
      </w:rPr>
      <w:t xml:space="preserve"> </w:t>
    </w:r>
    <w:r>
      <w:rPr>
        <w:rFonts w:ascii="Garamond" w:hAnsi="Garamond" w:cs="Garamond"/>
        <w:i/>
        <w:iCs/>
      </w:rPr>
      <w:t xml:space="preserve">Issue 1, </w:t>
    </w:r>
    <w:r w:rsidRPr="00F77ED8">
      <w:rPr>
        <w:rFonts w:ascii="Garamond" w:hAnsi="Garamond" w:cs="Garamond"/>
        <w:i/>
        <w:iCs/>
      </w:rPr>
      <w:t>No</w:t>
    </w:r>
    <w:r>
      <w:rPr>
        <w:rFonts w:ascii="Garamond" w:hAnsi="Garamond" w:cs="Garamond"/>
        <w:i/>
        <w:iCs/>
      </w:rPr>
      <w:t>.</w:t>
    </w:r>
    <w:r w:rsidRPr="00F77ED8">
      <w:rPr>
        <w:rFonts w:ascii="Garamond" w:hAnsi="Garamond" w:cs="Garamond"/>
        <w:i/>
        <w:iCs/>
      </w:rPr>
      <w:t xml:space="preserve"> </w:t>
    </w:r>
    <w:r>
      <w:rPr>
        <w:rFonts w:ascii="Garamond" w:hAnsi="Garamond" w:cs="Garamond"/>
        <w:i/>
        <w:iCs/>
      </w:rPr>
      <w:t>6</w:t>
    </w:r>
    <w:r w:rsidRPr="00F77ED8">
      <w:rPr>
        <w:rFonts w:ascii="Garamond" w:hAnsi="Garamond" w:cs="Garamond"/>
        <w:i/>
        <w:iCs/>
      </w:rPr>
      <w:tab/>
    </w:r>
    <w:r>
      <w:rPr>
        <w:rFonts w:ascii="Garamond" w:hAnsi="Garamond" w:cs="Garamond"/>
        <w:i/>
        <w:iCs/>
      </w:rPr>
      <w:t xml:space="preserve">          </w:t>
    </w:r>
    <w:r w:rsidRPr="0070774A">
      <w:rPr>
        <w:rFonts w:ascii="Garamond" w:hAnsi="Garamond" w:cs="Garamond"/>
        <w:iCs/>
      </w:rPr>
      <w:t xml:space="preserve">Page </w:t>
    </w:r>
    <w:r w:rsidRPr="0070774A">
      <w:rPr>
        <w:rFonts w:ascii="Garamond" w:hAnsi="Garamond" w:cs="Garamond"/>
        <w:iCs/>
      </w:rPr>
      <w:fldChar w:fldCharType="begin"/>
    </w:r>
    <w:r w:rsidRPr="0070774A">
      <w:rPr>
        <w:rFonts w:ascii="Garamond" w:hAnsi="Garamond" w:cs="Garamond"/>
        <w:iCs/>
      </w:rPr>
      <w:instrText xml:space="preserve"> PAGE   \* MERGEFORMAT </w:instrText>
    </w:r>
    <w:r w:rsidRPr="0070774A">
      <w:rPr>
        <w:rFonts w:ascii="Garamond" w:hAnsi="Garamond" w:cs="Garamond"/>
        <w:iCs/>
      </w:rPr>
      <w:fldChar w:fldCharType="separate"/>
    </w:r>
    <w:r w:rsidR="001655D7">
      <w:rPr>
        <w:rFonts w:ascii="Garamond" w:hAnsi="Garamond" w:cs="Garamond"/>
        <w:iCs/>
        <w:noProof/>
      </w:rPr>
      <w:t>5</w:t>
    </w:r>
    <w:r w:rsidRPr="0070774A">
      <w:rPr>
        <w:rFonts w:ascii="Garamond" w:hAnsi="Garamond" w:cs="Garamond"/>
        <w:iCs/>
      </w:rPr>
      <w:fldChar w:fldCharType="end"/>
    </w:r>
  </w:p>
  <w:p w14:paraId="6A2DC2DC" w14:textId="77777777" w:rsidR="00EC4BFA" w:rsidRDefault="00EC4BFA" w:rsidP="00EC4BFA">
    <w:pPr>
      <w:pBdr>
        <w:bottom w:val="single" w:sz="6" w:space="1" w:color="auto"/>
      </w:pBdr>
      <w:rPr>
        <w:rFonts w:ascii="Garamond" w:hAnsi="Garamond"/>
      </w:rPr>
    </w:pPr>
    <w:r>
      <w:rPr>
        <w:rFonts w:ascii="Garamond" w:hAnsi="Garamond"/>
        <w:iCs/>
      </w:rPr>
      <w:t>Wu</w:t>
    </w:r>
    <w:r>
      <w:rPr>
        <w:rFonts w:ascii="Garamond" w:hAnsi="Garamond"/>
      </w:rPr>
      <w:t>,</w:t>
    </w:r>
    <w:r w:rsidRPr="00241ED9">
      <w:rPr>
        <w:rFonts w:ascii="Garamond" w:hAnsi="Garamond"/>
      </w:rPr>
      <w:t xml:space="preserve"> </w:t>
    </w:r>
    <w:r>
      <w:rPr>
        <w:rFonts w:ascii="Garamond" w:hAnsi="Garamond"/>
      </w:rPr>
      <w:t>Validation Practices and the Strong Interest Inventory</w:t>
    </w:r>
  </w:p>
  <w:p w14:paraId="49940D61" w14:textId="77777777" w:rsidR="00030D7A" w:rsidRPr="00EC4BFA" w:rsidRDefault="00030D7A" w:rsidP="00EC4B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E089D" w14:textId="3CDBD204" w:rsidR="00EC4BFA" w:rsidRPr="0070774A" w:rsidRDefault="00EC4BFA" w:rsidP="00844964">
    <w:pPr>
      <w:pBdr>
        <w:bottom w:val="single" w:sz="6" w:space="1" w:color="auto"/>
      </w:pBdr>
      <w:tabs>
        <w:tab w:val="right" w:pos="10710"/>
      </w:tabs>
      <w:rPr>
        <w:rFonts w:ascii="Garamond" w:hAnsi="Garamond"/>
        <w:color w:val="040404"/>
      </w:rPr>
    </w:pPr>
    <w:r w:rsidRPr="00F77ED8">
      <w:rPr>
        <w:rFonts w:ascii="Garamond" w:hAnsi="Garamond" w:cs="Garamond"/>
        <w:i/>
        <w:iCs/>
      </w:rPr>
      <w:t>Practical Assessment, Research</w:t>
    </w:r>
    <w:r>
      <w:rPr>
        <w:rFonts w:ascii="Garamond" w:hAnsi="Garamond" w:cs="Garamond"/>
        <w:i/>
        <w:iCs/>
      </w:rPr>
      <w:t>, and</w:t>
    </w:r>
    <w:r w:rsidRPr="00F77ED8">
      <w:rPr>
        <w:rFonts w:ascii="Garamond" w:hAnsi="Garamond" w:cs="Garamond"/>
        <w:i/>
        <w:iCs/>
      </w:rPr>
      <w:t xml:space="preserve"> Evaluation, Vol</w:t>
    </w:r>
    <w:r>
      <w:rPr>
        <w:rFonts w:ascii="Garamond" w:hAnsi="Garamond" w:cs="Garamond"/>
        <w:i/>
        <w:iCs/>
      </w:rPr>
      <w:t>.</w:t>
    </w:r>
    <w:r w:rsidRPr="00F77ED8">
      <w:rPr>
        <w:rFonts w:ascii="Garamond" w:hAnsi="Garamond" w:cs="Garamond"/>
        <w:i/>
        <w:iCs/>
      </w:rPr>
      <w:t xml:space="preserve"> </w:t>
    </w:r>
    <w:r>
      <w:rPr>
        <w:rFonts w:ascii="Garamond" w:hAnsi="Garamond" w:cs="Garamond"/>
        <w:i/>
        <w:iCs/>
      </w:rPr>
      <w:t>30,</w:t>
    </w:r>
    <w:r w:rsidRPr="00F77ED8">
      <w:rPr>
        <w:rFonts w:ascii="Garamond" w:hAnsi="Garamond" w:cs="Garamond"/>
        <w:i/>
        <w:iCs/>
      </w:rPr>
      <w:t xml:space="preserve"> </w:t>
    </w:r>
    <w:r>
      <w:rPr>
        <w:rFonts w:ascii="Garamond" w:hAnsi="Garamond" w:cs="Garamond"/>
        <w:i/>
        <w:iCs/>
      </w:rPr>
      <w:t xml:space="preserve">Issue 1, </w:t>
    </w:r>
    <w:r w:rsidRPr="00F77ED8">
      <w:rPr>
        <w:rFonts w:ascii="Garamond" w:hAnsi="Garamond" w:cs="Garamond"/>
        <w:i/>
        <w:iCs/>
      </w:rPr>
      <w:t>No</w:t>
    </w:r>
    <w:r>
      <w:rPr>
        <w:rFonts w:ascii="Garamond" w:hAnsi="Garamond" w:cs="Garamond"/>
        <w:i/>
        <w:iCs/>
      </w:rPr>
      <w:t>.</w:t>
    </w:r>
    <w:r w:rsidRPr="00F77ED8">
      <w:rPr>
        <w:rFonts w:ascii="Garamond" w:hAnsi="Garamond" w:cs="Garamond"/>
        <w:i/>
        <w:iCs/>
      </w:rPr>
      <w:t xml:space="preserve"> </w:t>
    </w:r>
    <w:r>
      <w:rPr>
        <w:rFonts w:ascii="Garamond" w:hAnsi="Garamond" w:cs="Garamond"/>
        <w:i/>
        <w:iCs/>
      </w:rPr>
      <w:t>6</w:t>
    </w:r>
    <w:r>
      <w:rPr>
        <w:rFonts w:ascii="Garamond" w:hAnsi="Garamond" w:cs="Garamond"/>
        <w:i/>
        <w:iCs/>
      </w:rPr>
      <w:tab/>
    </w:r>
    <w:r w:rsidR="00D46F9A">
      <w:rPr>
        <w:rFonts w:ascii="Garamond" w:hAnsi="Garamond" w:cs="Garamond"/>
        <w:i/>
        <w:iCs/>
      </w:rPr>
      <w:tab/>
    </w:r>
    <w:r w:rsidR="00D46F9A">
      <w:rPr>
        <w:rFonts w:ascii="Garamond" w:hAnsi="Garamond" w:cs="Garamond"/>
        <w:i/>
        <w:iCs/>
      </w:rPr>
      <w:tab/>
    </w:r>
    <w:r w:rsidR="00D46F9A">
      <w:rPr>
        <w:rFonts w:ascii="Garamond" w:hAnsi="Garamond" w:cs="Garamond"/>
        <w:i/>
        <w:iCs/>
      </w:rPr>
      <w:tab/>
      <w:t xml:space="preserve">           </w:t>
    </w:r>
    <w:r w:rsidRPr="0070774A">
      <w:rPr>
        <w:rFonts w:ascii="Garamond" w:hAnsi="Garamond" w:cs="Garamond"/>
        <w:iCs/>
      </w:rPr>
      <w:t xml:space="preserve">Page </w:t>
    </w:r>
    <w:r w:rsidRPr="0070774A">
      <w:rPr>
        <w:rFonts w:ascii="Garamond" w:hAnsi="Garamond" w:cs="Garamond"/>
        <w:iCs/>
      </w:rPr>
      <w:fldChar w:fldCharType="begin"/>
    </w:r>
    <w:r w:rsidRPr="0070774A">
      <w:rPr>
        <w:rFonts w:ascii="Garamond" w:hAnsi="Garamond" w:cs="Garamond"/>
        <w:iCs/>
      </w:rPr>
      <w:instrText xml:space="preserve"> PAGE   \* MERGEFORMAT </w:instrText>
    </w:r>
    <w:r w:rsidRPr="0070774A">
      <w:rPr>
        <w:rFonts w:ascii="Garamond" w:hAnsi="Garamond" w:cs="Garamond"/>
        <w:iCs/>
      </w:rPr>
      <w:fldChar w:fldCharType="separate"/>
    </w:r>
    <w:r w:rsidR="001655D7">
      <w:rPr>
        <w:rFonts w:ascii="Garamond" w:hAnsi="Garamond" w:cs="Garamond"/>
        <w:iCs/>
        <w:noProof/>
      </w:rPr>
      <w:t>7</w:t>
    </w:r>
    <w:r w:rsidRPr="0070774A">
      <w:rPr>
        <w:rFonts w:ascii="Garamond" w:hAnsi="Garamond" w:cs="Garamond"/>
        <w:iCs/>
      </w:rPr>
      <w:fldChar w:fldCharType="end"/>
    </w:r>
  </w:p>
  <w:p w14:paraId="2DED5577" w14:textId="77777777" w:rsidR="00EC4BFA" w:rsidRDefault="00EC4BFA" w:rsidP="00844964">
    <w:pPr>
      <w:pBdr>
        <w:bottom w:val="single" w:sz="6" w:space="1" w:color="auto"/>
      </w:pBdr>
      <w:rPr>
        <w:rFonts w:ascii="Garamond" w:hAnsi="Garamond"/>
      </w:rPr>
    </w:pPr>
    <w:r>
      <w:rPr>
        <w:rFonts w:ascii="Garamond" w:hAnsi="Garamond"/>
        <w:iCs/>
      </w:rPr>
      <w:t>Wu</w:t>
    </w:r>
    <w:r>
      <w:rPr>
        <w:rFonts w:ascii="Garamond" w:hAnsi="Garamond"/>
      </w:rPr>
      <w:t>,</w:t>
    </w:r>
    <w:r w:rsidRPr="00241ED9">
      <w:rPr>
        <w:rFonts w:ascii="Garamond" w:hAnsi="Garamond"/>
      </w:rPr>
      <w:t xml:space="preserve"> </w:t>
    </w:r>
    <w:r>
      <w:rPr>
        <w:rFonts w:ascii="Garamond" w:hAnsi="Garamond"/>
      </w:rPr>
      <w:t>Validation Practices and the Strong Interest Inventory</w:t>
    </w:r>
  </w:p>
  <w:p w14:paraId="04F47553" w14:textId="77777777" w:rsidR="00EC4BFA" w:rsidRDefault="00EC4B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D1721" w14:textId="5C050C5D" w:rsidR="00EC4BFA" w:rsidRPr="0070774A" w:rsidRDefault="00EC4BFA" w:rsidP="00EC4BFA">
    <w:pPr>
      <w:pBdr>
        <w:bottom w:val="single" w:sz="6" w:space="1" w:color="auto"/>
      </w:pBdr>
      <w:tabs>
        <w:tab w:val="right" w:pos="10710"/>
      </w:tabs>
      <w:rPr>
        <w:rFonts w:ascii="Garamond" w:hAnsi="Garamond"/>
        <w:color w:val="040404"/>
      </w:rPr>
    </w:pPr>
    <w:r w:rsidRPr="00F77ED8">
      <w:rPr>
        <w:rFonts w:ascii="Garamond" w:hAnsi="Garamond" w:cs="Garamond"/>
        <w:i/>
        <w:iCs/>
      </w:rPr>
      <w:t>Practical Assessment, Research</w:t>
    </w:r>
    <w:r>
      <w:rPr>
        <w:rFonts w:ascii="Garamond" w:hAnsi="Garamond" w:cs="Garamond"/>
        <w:i/>
        <w:iCs/>
      </w:rPr>
      <w:t>, and</w:t>
    </w:r>
    <w:r w:rsidRPr="00F77ED8">
      <w:rPr>
        <w:rFonts w:ascii="Garamond" w:hAnsi="Garamond" w:cs="Garamond"/>
        <w:i/>
        <w:iCs/>
      </w:rPr>
      <w:t xml:space="preserve"> Evaluation, Vol</w:t>
    </w:r>
    <w:r>
      <w:rPr>
        <w:rFonts w:ascii="Garamond" w:hAnsi="Garamond" w:cs="Garamond"/>
        <w:i/>
        <w:iCs/>
      </w:rPr>
      <w:t>.</w:t>
    </w:r>
    <w:r w:rsidRPr="00F77ED8">
      <w:rPr>
        <w:rFonts w:ascii="Garamond" w:hAnsi="Garamond" w:cs="Garamond"/>
        <w:i/>
        <w:iCs/>
      </w:rPr>
      <w:t xml:space="preserve"> </w:t>
    </w:r>
    <w:r>
      <w:rPr>
        <w:rFonts w:ascii="Garamond" w:hAnsi="Garamond" w:cs="Garamond"/>
        <w:i/>
        <w:iCs/>
      </w:rPr>
      <w:t>30,</w:t>
    </w:r>
    <w:r w:rsidRPr="00F77ED8">
      <w:rPr>
        <w:rFonts w:ascii="Garamond" w:hAnsi="Garamond" w:cs="Garamond"/>
        <w:i/>
        <w:iCs/>
      </w:rPr>
      <w:t xml:space="preserve"> </w:t>
    </w:r>
    <w:r>
      <w:rPr>
        <w:rFonts w:ascii="Garamond" w:hAnsi="Garamond" w:cs="Garamond"/>
        <w:i/>
        <w:iCs/>
      </w:rPr>
      <w:t xml:space="preserve">Issue 1, </w:t>
    </w:r>
    <w:r w:rsidRPr="00F77ED8">
      <w:rPr>
        <w:rFonts w:ascii="Garamond" w:hAnsi="Garamond" w:cs="Garamond"/>
        <w:i/>
        <w:iCs/>
      </w:rPr>
      <w:t>No</w:t>
    </w:r>
    <w:r>
      <w:rPr>
        <w:rFonts w:ascii="Garamond" w:hAnsi="Garamond" w:cs="Garamond"/>
        <w:i/>
        <w:iCs/>
      </w:rPr>
      <w:t>.</w:t>
    </w:r>
    <w:r w:rsidRPr="00F77ED8">
      <w:rPr>
        <w:rFonts w:ascii="Garamond" w:hAnsi="Garamond" w:cs="Garamond"/>
        <w:i/>
        <w:iCs/>
      </w:rPr>
      <w:t xml:space="preserve"> </w:t>
    </w:r>
    <w:r>
      <w:rPr>
        <w:rFonts w:ascii="Garamond" w:hAnsi="Garamond" w:cs="Garamond"/>
        <w:i/>
        <w:iCs/>
      </w:rPr>
      <w:t>6</w:t>
    </w:r>
    <w:r w:rsidRPr="00F77ED8">
      <w:rPr>
        <w:rFonts w:ascii="Garamond" w:hAnsi="Garamond" w:cs="Garamond"/>
        <w:i/>
        <w:iCs/>
      </w:rPr>
      <w:tab/>
    </w:r>
    <w:r>
      <w:rPr>
        <w:rFonts w:ascii="Garamond" w:hAnsi="Garamond" w:cs="Garamond"/>
        <w:i/>
        <w:iCs/>
      </w:rPr>
      <w:t xml:space="preserve">          </w:t>
    </w:r>
    <w:r>
      <w:rPr>
        <w:rFonts w:ascii="Garamond" w:hAnsi="Garamond" w:cs="Garamond"/>
        <w:i/>
        <w:iCs/>
      </w:rPr>
      <w:tab/>
    </w:r>
    <w:r>
      <w:rPr>
        <w:rFonts w:ascii="Garamond" w:hAnsi="Garamond" w:cs="Garamond"/>
        <w:i/>
        <w:iCs/>
      </w:rPr>
      <w:tab/>
      <w:t xml:space="preserve">           </w:t>
    </w:r>
    <w:r w:rsidRPr="0070774A">
      <w:rPr>
        <w:rFonts w:ascii="Garamond" w:hAnsi="Garamond" w:cs="Garamond"/>
        <w:iCs/>
      </w:rPr>
      <w:t xml:space="preserve">Page </w:t>
    </w:r>
    <w:r w:rsidRPr="0070774A">
      <w:rPr>
        <w:rFonts w:ascii="Garamond" w:hAnsi="Garamond" w:cs="Garamond"/>
        <w:iCs/>
      </w:rPr>
      <w:fldChar w:fldCharType="begin"/>
    </w:r>
    <w:r w:rsidRPr="0070774A">
      <w:rPr>
        <w:rFonts w:ascii="Garamond" w:hAnsi="Garamond" w:cs="Garamond"/>
        <w:iCs/>
      </w:rPr>
      <w:instrText xml:space="preserve"> PAGE   \* MERGEFORMAT </w:instrText>
    </w:r>
    <w:r w:rsidRPr="0070774A">
      <w:rPr>
        <w:rFonts w:ascii="Garamond" w:hAnsi="Garamond" w:cs="Garamond"/>
        <w:iCs/>
      </w:rPr>
      <w:fldChar w:fldCharType="separate"/>
    </w:r>
    <w:r w:rsidR="00517D2F">
      <w:rPr>
        <w:rFonts w:ascii="Garamond" w:hAnsi="Garamond" w:cs="Garamond"/>
        <w:iCs/>
        <w:noProof/>
      </w:rPr>
      <w:t>6</w:t>
    </w:r>
    <w:r w:rsidRPr="0070774A">
      <w:rPr>
        <w:rFonts w:ascii="Garamond" w:hAnsi="Garamond" w:cs="Garamond"/>
        <w:iCs/>
      </w:rPr>
      <w:fldChar w:fldCharType="end"/>
    </w:r>
  </w:p>
  <w:p w14:paraId="0FED251B" w14:textId="77777777" w:rsidR="00EC4BFA" w:rsidRDefault="00EC4BFA" w:rsidP="00EC4BFA">
    <w:pPr>
      <w:pBdr>
        <w:bottom w:val="single" w:sz="6" w:space="1" w:color="auto"/>
      </w:pBdr>
      <w:rPr>
        <w:rFonts w:ascii="Garamond" w:hAnsi="Garamond"/>
      </w:rPr>
    </w:pPr>
    <w:r>
      <w:rPr>
        <w:rFonts w:ascii="Garamond" w:hAnsi="Garamond"/>
        <w:iCs/>
      </w:rPr>
      <w:t>Wu</w:t>
    </w:r>
    <w:r>
      <w:rPr>
        <w:rFonts w:ascii="Garamond" w:hAnsi="Garamond"/>
      </w:rPr>
      <w:t>,</w:t>
    </w:r>
    <w:r w:rsidRPr="00241ED9">
      <w:rPr>
        <w:rFonts w:ascii="Garamond" w:hAnsi="Garamond"/>
      </w:rPr>
      <w:t xml:space="preserve"> </w:t>
    </w:r>
    <w:r>
      <w:rPr>
        <w:rFonts w:ascii="Garamond" w:hAnsi="Garamond"/>
      </w:rPr>
      <w:t>Validation Practices and the Strong Interest Inventory</w:t>
    </w:r>
  </w:p>
  <w:p w14:paraId="17B547AA" w14:textId="77777777" w:rsidR="00EC4BFA" w:rsidRDefault="00EC4B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55D89" w14:textId="2007E7ED" w:rsidR="00EC4BFA" w:rsidRPr="0070774A" w:rsidRDefault="00EC4BFA" w:rsidP="00844964">
    <w:pPr>
      <w:pBdr>
        <w:bottom w:val="single" w:sz="6" w:space="1" w:color="auto"/>
      </w:pBdr>
      <w:tabs>
        <w:tab w:val="right" w:pos="10710"/>
      </w:tabs>
      <w:rPr>
        <w:rFonts w:ascii="Garamond" w:hAnsi="Garamond"/>
        <w:color w:val="040404"/>
      </w:rPr>
    </w:pPr>
    <w:r w:rsidRPr="00F77ED8">
      <w:rPr>
        <w:rFonts w:ascii="Garamond" w:hAnsi="Garamond" w:cs="Garamond"/>
        <w:i/>
        <w:iCs/>
      </w:rPr>
      <w:t>Practical Assessment, Research</w:t>
    </w:r>
    <w:r>
      <w:rPr>
        <w:rFonts w:ascii="Garamond" w:hAnsi="Garamond" w:cs="Garamond"/>
        <w:i/>
        <w:iCs/>
      </w:rPr>
      <w:t>, and</w:t>
    </w:r>
    <w:r w:rsidRPr="00F77ED8">
      <w:rPr>
        <w:rFonts w:ascii="Garamond" w:hAnsi="Garamond" w:cs="Garamond"/>
        <w:i/>
        <w:iCs/>
      </w:rPr>
      <w:t xml:space="preserve"> Evaluation, Vol</w:t>
    </w:r>
    <w:r>
      <w:rPr>
        <w:rFonts w:ascii="Garamond" w:hAnsi="Garamond" w:cs="Garamond"/>
        <w:i/>
        <w:iCs/>
      </w:rPr>
      <w:t>.</w:t>
    </w:r>
    <w:r w:rsidRPr="00F77ED8">
      <w:rPr>
        <w:rFonts w:ascii="Garamond" w:hAnsi="Garamond" w:cs="Garamond"/>
        <w:i/>
        <w:iCs/>
      </w:rPr>
      <w:t xml:space="preserve"> </w:t>
    </w:r>
    <w:r>
      <w:rPr>
        <w:rFonts w:ascii="Garamond" w:hAnsi="Garamond" w:cs="Garamond"/>
        <w:i/>
        <w:iCs/>
      </w:rPr>
      <w:t>30,</w:t>
    </w:r>
    <w:r w:rsidRPr="00F77ED8">
      <w:rPr>
        <w:rFonts w:ascii="Garamond" w:hAnsi="Garamond" w:cs="Garamond"/>
        <w:i/>
        <w:iCs/>
      </w:rPr>
      <w:t xml:space="preserve"> </w:t>
    </w:r>
    <w:r>
      <w:rPr>
        <w:rFonts w:ascii="Garamond" w:hAnsi="Garamond" w:cs="Garamond"/>
        <w:i/>
        <w:iCs/>
      </w:rPr>
      <w:t xml:space="preserve">Issue 1, </w:t>
    </w:r>
    <w:r w:rsidRPr="00F77ED8">
      <w:rPr>
        <w:rFonts w:ascii="Garamond" w:hAnsi="Garamond" w:cs="Garamond"/>
        <w:i/>
        <w:iCs/>
      </w:rPr>
      <w:t>No</w:t>
    </w:r>
    <w:r>
      <w:rPr>
        <w:rFonts w:ascii="Garamond" w:hAnsi="Garamond" w:cs="Garamond"/>
        <w:i/>
        <w:iCs/>
      </w:rPr>
      <w:t>.</w:t>
    </w:r>
    <w:r w:rsidRPr="00F77ED8">
      <w:rPr>
        <w:rFonts w:ascii="Garamond" w:hAnsi="Garamond" w:cs="Garamond"/>
        <w:i/>
        <w:iCs/>
      </w:rPr>
      <w:t xml:space="preserve"> </w:t>
    </w:r>
    <w:r>
      <w:rPr>
        <w:rFonts w:ascii="Garamond" w:hAnsi="Garamond" w:cs="Garamond"/>
        <w:i/>
        <w:iCs/>
      </w:rPr>
      <w:t>6</w:t>
    </w:r>
    <w:r>
      <w:rPr>
        <w:rFonts w:ascii="Garamond" w:hAnsi="Garamond" w:cs="Garamond"/>
        <w:i/>
        <w:iCs/>
      </w:rPr>
      <w:tab/>
    </w:r>
    <w:r w:rsidRPr="0070774A">
      <w:rPr>
        <w:rFonts w:ascii="Garamond" w:hAnsi="Garamond" w:cs="Garamond"/>
        <w:iCs/>
      </w:rPr>
      <w:t xml:space="preserve">Page </w:t>
    </w:r>
    <w:r w:rsidRPr="0070774A">
      <w:rPr>
        <w:rFonts w:ascii="Garamond" w:hAnsi="Garamond" w:cs="Garamond"/>
        <w:iCs/>
      </w:rPr>
      <w:fldChar w:fldCharType="begin"/>
    </w:r>
    <w:r w:rsidRPr="0070774A">
      <w:rPr>
        <w:rFonts w:ascii="Garamond" w:hAnsi="Garamond" w:cs="Garamond"/>
        <w:iCs/>
      </w:rPr>
      <w:instrText xml:space="preserve"> PAGE   \* MERGEFORMAT </w:instrText>
    </w:r>
    <w:r w:rsidRPr="0070774A">
      <w:rPr>
        <w:rFonts w:ascii="Garamond" w:hAnsi="Garamond" w:cs="Garamond"/>
        <w:iCs/>
      </w:rPr>
      <w:fldChar w:fldCharType="separate"/>
    </w:r>
    <w:r w:rsidR="001655D7">
      <w:rPr>
        <w:rFonts w:ascii="Garamond" w:hAnsi="Garamond" w:cs="Garamond"/>
        <w:iCs/>
        <w:noProof/>
      </w:rPr>
      <w:t>10</w:t>
    </w:r>
    <w:r w:rsidRPr="0070774A">
      <w:rPr>
        <w:rFonts w:ascii="Garamond" w:hAnsi="Garamond" w:cs="Garamond"/>
        <w:iCs/>
      </w:rPr>
      <w:fldChar w:fldCharType="end"/>
    </w:r>
  </w:p>
  <w:p w14:paraId="39325385" w14:textId="77777777" w:rsidR="00EC4BFA" w:rsidRDefault="00EC4BFA" w:rsidP="00844964">
    <w:pPr>
      <w:pBdr>
        <w:bottom w:val="single" w:sz="6" w:space="1" w:color="auto"/>
      </w:pBdr>
      <w:rPr>
        <w:rFonts w:ascii="Garamond" w:hAnsi="Garamond"/>
      </w:rPr>
    </w:pPr>
    <w:r>
      <w:rPr>
        <w:rFonts w:ascii="Garamond" w:hAnsi="Garamond"/>
        <w:iCs/>
      </w:rPr>
      <w:t>Wu</w:t>
    </w:r>
    <w:r>
      <w:rPr>
        <w:rFonts w:ascii="Garamond" w:hAnsi="Garamond"/>
      </w:rPr>
      <w:t>,</w:t>
    </w:r>
    <w:r w:rsidRPr="00241ED9">
      <w:rPr>
        <w:rFonts w:ascii="Garamond" w:hAnsi="Garamond"/>
      </w:rPr>
      <w:t xml:space="preserve"> </w:t>
    </w:r>
    <w:r>
      <w:rPr>
        <w:rFonts w:ascii="Garamond" w:hAnsi="Garamond"/>
      </w:rPr>
      <w:t>Validation Practices and the Strong Interest Inventory</w:t>
    </w:r>
  </w:p>
  <w:p w14:paraId="5ABAEDCE" w14:textId="77777777" w:rsidR="00EC4BFA" w:rsidRDefault="00EC4BF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B393F" w14:textId="54A3A1F2" w:rsidR="00EC4BFA" w:rsidRPr="0070774A" w:rsidRDefault="00EC4BFA" w:rsidP="00EC4BFA">
    <w:pPr>
      <w:pBdr>
        <w:bottom w:val="single" w:sz="6" w:space="1" w:color="auto"/>
      </w:pBdr>
      <w:tabs>
        <w:tab w:val="right" w:pos="10710"/>
      </w:tabs>
      <w:rPr>
        <w:rFonts w:ascii="Garamond" w:hAnsi="Garamond"/>
        <w:color w:val="040404"/>
      </w:rPr>
    </w:pPr>
    <w:r w:rsidRPr="00F77ED8">
      <w:rPr>
        <w:rFonts w:ascii="Garamond" w:hAnsi="Garamond" w:cs="Garamond"/>
        <w:i/>
        <w:iCs/>
      </w:rPr>
      <w:t>Practical Assessment, Research</w:t>
    </w:r>
    <w:r>
      <w:rPr>
        <w:rFonts w:ascii="Garamond" w:hAnsi="Garamond" w:cs="Garamond"/>
        <w:i/>
        <w:iCs/>
      </w:rPr>
      <w:t>, and</w:t>
    </w:r>
    <w:r w:rsidRPr="00F77ED8">
      <w:rPr>
        <w:rFonts w:ascii="Garamond" w:hAnsi="Garamond" w:cs="Garamond"/>
        <w:i/>
        <w:iCs/>
      </w:rPr>
      <w:t xml:space="preserve"> Evaluation, Vol</w:t>
    </w:r>
    <w:r>
      <w:rPr>
        <w:rFonts w:ascii="Garamond" w:hAnsi="Garamond" w:cs="Garamond"/>
        <w:i/>
        <w:iCs/>
      </w:rPr>
      <w:t>.</w:t>
    </w:r>
    <w:r w:rsidRPr="00F77ED8">
      <w:rPr>
        <w:rFonts w:ascii="Garamond" w:hAnsi="Garamond" w:cs="Garamond"/>
        <w:i/>
        <w:iCs/>
      </w:rPr>
      <w:t xml:space="preserve"> </w:t>
    </w:r>
    <w:r>
      <w:rPr>
        <w:rFonts w:ascii="Garamond" w:hAnsi="Garamond" w:cs="Garamond"/>
        <w:i/>
        <w:iCs/>
      </w:rPr>
      <w:t>30,</w:t>
    </w:r>
    <w:r w:rsidRPr="00F77ED8">
      <w:rPr>
        <w:rFonts w:ascii="Garamond" w:hAnsi="Garamond" w:cs="Garamond"/>
        <w:i/>
        <w:iCs/>
      </w:rPr>
      <w:t xml:space="preserve"> </w:t>
    </w:r>
    <w:r>
      <w:rPr>
        <w:rFonts w:ascii="Garamond" w:hAnsi="Garamond" w:cs="Garamond"/>
        <w:i/>
        <w:iCs/>
      </w:rPr>
      <w:t xml:space="preserve">Issue 1, </w:t>
    </w:r>
    <w:r w:rsidRPr="00F77ED8">
      <w:rPr>
        <w:rFonts w:ascii="Garamond" w:hAnsi="Garamond" w:cs="Garamond"/>
        <w:i/>
        <w:iCs/>
      </w:rPr>
      <w:t>No</w:t>
    </w:r>
    <w:r>
      <w:rPr>
        <w:rFonts w:ascii="Garamond" w:hAnsi="Garamond" w:cs="Garamond"/>
        <w:i/>
        <w:iCs/>
      </w:rPr>
      <w:t>.</w:t>
    </w:r>
    <w:r w:rsidRPr="00F77ED8">
      <w:rPr>
        <w:rFonts w:ascii="Garamond" w:hAnsi="Garamond" w:cs="Garamond"/>
        <w:i/>
        <w:iCs/>
      </w:rPr>
      <w:t xml:space="preserve"> </w:t>
    </w:r>
    <w:r>
      <w:rPr>
        <w:rFonts w:ascii="Garamond" w:hAnsi="Garamond" w:cs="Garamond"/>
        <w:i/>
        <w:iCs/>
      </w:rPr>
      <w:t>6</w:t>
    </w:r>
    <w:r>
      <w:rPr>
        <w:rFonts w:ascii="Garamond" w:hAnsi="Garamond" w:cs="Garamond"/>
        <w:i/>
        <w:iCs/>
      </w:rPr>
      <w:tab/>
    </w:r>
    <w:r w:rsidRPr="0070774A">
      <w:rPr>
        <w:rFonts w:ascii="Garamond" w:hAnsi="Garamond" w:cs="Garamond"/>
        <w:iCs/>
      </w:rPr>
      <w:t xml:space="preserve">Page </w:t>
    </w:r>
    <w:r w:rsidRPr="0070774A">
      <w:rPr>
        <w:rFonts w:ascii="Garamond" w:hAnsi="Garamond" w:cs="Garamond"/>
        <w:iCs/>
      </w:rPr>
      <w:fldChar w:fldCharType="begin"/>
    </w:r>
    <w:r w:rsidRPr="0070774A">
      <w:rPr>
        <w:rFonts w:ascii="Garamond" w:hAnsi="Garamond" w:cs="Garamond"/>
        <w:iCs/>
      </w:rPr>
      <w:instrText xml:space="preserve"> PAGE   \* MERGEFORMAT </w:instrText>
    </w:r>
    <w:r w:rsidRPr="0070774A">
      <w:rPr>
        <w:rFonts w:ascii="Garamond" w:hAnsi="Garamond" w:cs="Garamond"/>
        <w:iCs/>
      </w:rPr>
      <w:fldChar w:fldCharType="separate"/>
    </w:r>
    <w:r w:rsidR="001655D7">
      <w:rPr>
        <w:rFonts w:ascii="Garamond" w:hAnsi="Garamond" w:cs="Garamond"/>
        <w:iCs/>
        <w:noProof/>
      </w:rPr>
      <w:t>9</w:t>
    </w:r>
    <w:r w:rsidRPr="0070774A">
      <w:rPr>
        <w:rFonts w:ascii="Garamond" w:hAnsi="Garamond" w:cs="Garamond"/>
        <w:iCs/>
      </w:rPr>
      <w:fldChar w:fldCharType="end"/>
    </w:r>
  </w:p>
  <w:p w14:paraId="501FEF2B" w14:textId="77777777" w:rsidR="00EC4BFA" w:rsidRDefault="00EC4BFA" w:rsidP="00EC4BFA">
    <w:pPr>
      <w:pBdr>
        <w:bottom w:val="single" w:sz="6" w:space="1" w:color="auto"/>
      </w:pBdr>
      <w:rPr>
        <w:rFonts w:ascii="Garamond" w:hAnsi="Garamond"/>
      </w:rPr>
    </w:pPr>
    <w:r>
      <w:rPr>
        <w:rFonts w:ascii="Garamond" w:hAnsi="Garamond"/>
        <w:iCs/>
      </w:rPr>
      <w:t>Wu</w:t>
    </w:r>
    <w:r>
      <w:rPr>
        <w:rFonts w:ascii="Garamond" w:hAnsi="Garamond"/>
      </w:rPr>
      <w:t>,</w:t>
    </w:r>
    <w:r w:rsidRPr="00241ED9">
      <w:rPr>
        <w:rFonts w:ascii="Garamond" w:hAnsi="Garamond"/>
      </w:rPr>
      <w:t xml:space="preserve"> </w:t>
    </w:r>
    <w:r>
      <w:rPr>
        <w:rFonts w:ascii="Garamond" w:hAnsi="Garamond"/>
      </w:rPr>
      <w:t>Validation Practices and the Strong Interest Inventory</w:t>
    </w:r>
  </w:p>
  <w:p w14:paraId="742727D3" w14:textId="77777777" w:rsidR="00EC4BFA" w:rsidRDefault="00EC4B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49" type="#_x0000_t75" alt="Unlock with solid fill" style="width:8.3pt;height:10.75pt;visibility:visible;mso-wrap-style:square" o:bullet="t">
        <v:imagedata r:id="rId1" o:title="Unlock with solid fill" cropright="-8374f"/>
      </v:shape>
    </w:pict>
  </w:numPicBullet>
  <w:abstractNum w:abstractNumId="0" w15:restartNumberingAfterBreak="0">
    <w:nsid w:val="13E43C26"/>
    <w:multiLevelType w:val="hybridMultilevel"/>
    <w:tmpl w:val="E1C25A2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205C38"/>
    <w:multiLevelType w:val="hybridMultilevel"/>
    <w:tmpl w:val="E02CAD7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612D90"/>
    <w:multiLevelType w:val="hybridMultilevel"/>
    <w:tmpl w:val="DDFEFB88"/>
    <w:lvl w:ilvl="0" w:tplc="E1CA91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4A12CA"/>
    <w:multiLevelType w:val="hybridMultilevel"/>
    <w:tmpl w:val="E996C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8A21D2"/>
    <w:multiLevelType w:val="hybridMultilevel"/>
    <w:tmpl w:val="100859BA"/>
    <w:lvl w:ilvl="0" w:tplc="322AE6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A8A57B0"/>
    <w:multiLevelType w:val="hybridMultilevel"/>
    <w:tmpl w:val="7FF45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E27326"/>
    <w:multiLevelType w:val="hybridMultilevel"/>
    <w:tmpl w:val="885A6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543549"/>
    <w:multiLevelType w:val="hybridMultilevel"/>
    <w:tmpl w:val="F42E3E3A"/>
    <w:lvl w:ilvl="0" w:tplc="6F56D18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2D0A7A"/>
    <w:multiLevelType w:val="hybridMultilevel"/>
    <w:tmpl w:val="0EA092F2"/>
    <w:lvl w:ilvl="0" w:tplc="21B8D8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5BF6049"/>
    <w:multiLevelType w:val="hybridMultilevel"/>
    <w:tmpl w:val="42644F10"/>
    <w:lvl w:ilvl="0" w:tplc="8124E2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7791F86"/>
    <w:multiLevelType w:val="hybridMultilevel"/>
    <w:tmpl w:val="2C365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690474">
    <w:abstractNumId w:val="1"/>
  </w:num>
  <w:num w:numId="2" w16cid:durableId="1472675707">
    <w:abstractNumId w:val="10"/>
  </w:num>
  <w:num w:numId="3" w16cid:durableId="1928492550">
    <w:abstractNumId w:val="5"/>
  </w:num>
  <w:num w:numId="4" w16cid:durableId="688415366">
    <w:abstractNumId w:val="0"/>
  </w:num>
  <w:num w:numId="5" w16cid:durableId="1544714757">
    <w:abstractNumId w:val="6"/>
  </w:num>
  <w:num w:numId="6" w16cid:durableId="1942713901">
    <w:abstractNumId w:val="3"/>
  </w:num>
  <w:num w:numId="7" w16cid:durableId="1551452787">
    <w:abstractNumId w:val="9"/>
  </w:num>
  <w:num w:numId="8" w16cid:durableId="1269120074">
    <w:abstractNumId w:val="2"/>
  </w:num>
  <w:num w:numId="9" w16cid:durableId="281426098">
    <w:abstractNumId w:val="4"/>
  </w:num>
  <w:num w:numId="10" w16cid:durableId="875698566">
    <w:abstractNumId w:val="8"/>
  </w:num>
  <w:num w:numId="11" w16cid:durableId="17265660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activeWritingStyle w:appName="MSWord" w:lang="es-ES"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CA" w:vendorID="64" w:dllVersion="0" w:nlCheck="1" w:checkStyle="0"/>
  <w:activeWritingStyle w:appName="MSWord" w:lang="en-US" w:vendorID="64" w:dllVersion="6" w:nlCheck="1" w:checkStyle="0"/>
  <w:activeWritingStyle w:appName="MSWord" w:lang="en-GB" w:vendorID="64" w:dllVersion="6" w:nlCheck="1" w:checkStyle="0"/>
  <w:activeWritingStyle w:appName="MSWord" w:lang="en-CA" w:vendorID="64" w:dllVersion="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5B6"/>
    <w:rsid w:val="000113BB"/>
    <w:rsid w:val="00023C44"/>
    <w:rsid w:val="00024D71"/>
    <w:rsid w:val="00030D7A"/>
    <w:rsid w:val="00040968"/>
    <w:rsid w:val="00076AFA"/>
    <w:rsid w:val="00082DDF"/>
    <w:rsid w:val="00094B61"/>
    <w:rsid w:val="000D07F9"/>
    <w:rsid w:val="0011031F"/>
    <w:rsid w:val="00110C15"/>
    <w:rsid w:val="001118D4"/>
    <w:rsid w:val="00111C0C"/>
    <w:rsid w:val="00130D62"/>
    <w:rsid w:val="0015072E"/>
    <w:rsid w:val="001655D7"/>
    <w:rsid w:val="0018584B"/>
    <w:rsid w:val="00190FC5"/>
    <w:rsid w:val="001C5FB7"/>
    <w:rsid w:val="001C64BC"/>
    <w:rsid w:val="001F4861"/>
    <w:rsid w:val="0020780B"/>
    <w:rsid w:val="00215722"/>
    <w:rsid w:val="002313CB"/>
    <w:rsid w:val="002438D4"/>
    <w:rsid w:val="00284F89"/>
    <w:rsid w:val="0028626D"/>
    <w:rsid w:val="00296F6E"/>
    <w:rsid w:val="002B083C"/>
    <w:rsid w:val="002D7C8A"/>
    <w:rsid w:val="002E25B6"/>
    <w:rsid w:val="002F0400"/>
    <w:rsid w:val="003102CE"/>
    <w:rsid w:val="00312B2C"/>
    <w:rsid w:val="00331DCC"/>
    <w:rsid w:val="00360328"/>
    <w:rsid w:val="00362551"/>
    <w:rsid w:val="003856DA"/>
    <w:rsid w:val="0039127A"/>
    <w:rsid w:val="003949BC"/>
    <w:rsid w:val="003A3D38"/>
    <w:rsid w:val="003A6648"/>
    <w:rsid w:val="003A7235"/>
    <w:rsid w:val="003C4DE9"/>
    <w:rsid w:val="003D230B"/>
    <w:rsid w:val="003D3FB7"/>
    <w:rsid w:val="003F2AE8"/>
    <w:rsid w:val="003F4F62"/>
    <w:rsid w:val="0045798A"/>
    <w:rsid w:val="004816CA"/>
    <w:rsid w:val="00482223"/>
    <w:rsid w:val="004B5523"/>
    <w:rsid w:val="004B7522"/>
    <w:rsid w:val="004D655C"/>
    <w:rsid w:val="00517D2F"/>
    <w:rsid w:val="00521EAA"/>
    <w:rsid w:val="005A7FC9"/>
    <w:rsid w:val="005B34DB"/>
    <w:rsid w:val="005D7042"/>
    <w:rsid w:val="00603A6F"/>
    <w:rsid w:val="006041B2"/>
    <w:rsid w:val="00615F5C"/>
    <w:rsid w:val="00622487"/>
    <w:rsid w:val="006435EE"/>
    <w:rsid w:val="00664CCB"/>
    <w:rsid w:val="00673F2F"/>
    <w:rsid w:val="00687F5B"/>
    <w:rsid w:val="006A137E"/>
    <w:rsid w:val="006A2EF4"/>
    <w:rsid w:val="006A6B5D"/>
    <w:rsid w:val="006B0760"/>
    <w:rsid w:val="006B190E"/>
    <w:rsid w:val="006F6F79"/>
    <w:rsid w:val="007369E2"/>
    <w:rsid w:val="00751184"/>
    <w:rsid w:val="00756C4A"/>
    <w:rsid w:val="007A5C4C"/>
    <w:rsid w:val="007B2CAA"/>
    <w:rsid w:val="007C45B3"/>
    <w:rsid w:val="007E5DB4"/>
    <w:rsid w:val="00844964"/>
    <w:rsid w:val="00892FAF"/>
    <w:rsid w:val="008A0DFD"/>
    <w:rsid w:val="008A352A"/>
    <w:rsid w:val="008B0E46"/>
    <w:rsid w:val="008D4287"/>
    <w:rsid w:val="008E4B56"/>
    <w:rsid w:val="0090150D"/>
    <w:rsid w:val="009062D1"/>
    <w:rsid w:val="0091393C"/>
    <w:rsid w:val="009173C5"/>
    <w:rsid w:val="00920B76"/>
    <w:rsid w:val="00923816"/>
    <w:rsid w:val="00927115"/>
    <w:rsid w:val="00931E2F"/>
    <w:rsid w:val="00942A41"/>
    <w:rsid w:val="009A0A95"/>
    <w:rsid w:val="009A0FE3"/>
    <w:rsid w:val="009B3A0B"/>
    <w:rsid w:val="009C2327"/>
    <w:rsid w:val="009D6ABE"/>
    <w:rsid w:val="009E1270"/>
    <w:rsid w:val="009E2696"/>
    <w:rsid w:val="00A22EA9"/>
    <w:rsid w:val="00A262EA"/>
    <w:rsid w:val="00A35FEE"/>
    <w:rsid w:val="00A36D6F"/>
    <w:rsid w:val="00A735D7"/>
    <w:rsid w:val="00A9160E"/>
    <w:rsid w:val="00AC6B71"/>
    <w:rsid w:val="00AE5AF7"/>
    <w:rsid w:val="00B030D2"/>
    <w:rsid w:val="00B159F1"/>
    <w:rsid w:val="00B44BB9"/>
    <w:rsid w:val="00B84EC7"/>
    <w:rsid w:val="00B8563A"/>
    <w:rsid w:val="00BA4BAF"/>
    <w:rsid w:val="00C21246"/>
    <w:rsid w:val="00C36847"/>
    <w:rsid w:val="00C60E8E"/>
    <w:rsid w:val="00C632B9"/>
    <w:rsid w:val="00C63B64"/>
    <w:rsid w:val="00C6558C"/>
    <w:rsid w:val="00C70DAD"/>
    <w:rsid w:val="00C7127F"/>
    <w:rsid w:val="00C745FD"/>
    <w:rsid w:val="00CB5120"/>
    <w:rsid w:val="00CB7647"/>
    <w:rsid w:val="00CC226D"/>
    <w:rsid w:val="00CE04E5"/>
    <w:rsid w:val="00CE3A12"/>
    <w:rsid w:val="00D1345E"/>
    <w:rsid w:val="00D14489"/>
    <w:rsid w:val="00D14A41"/>
    <w:rsid w:val="00D263C0"/>
    <w:rsid w:val="00D46F9A"/>
    <w:rsid w:val="00D47EDA"/>
    <w:rsid w:val="00D5729D"/>
    <w:rsid w:val="00D60AA6"/>
    <w:rsid w:val="00D74FA0"/>
    <w:rsid w:val="00D93787"/>
    <w:rsid w:val="00DD097E"/>
    <w:rsid w:val="00DD0AD4"/>
    <w:rsid w:val="00E0103C"/>
    <w:rsid w:val="00E026E1"/>
    <w:rsid w:val="00E16D9C"/>
    <w:rsid w:val="00E36632"/>
    <w:rsid w:val="00E42F5C"/>
    <w:rsid w:val="00E73E7D"/>
    <w:rsid w:val="00E845CE"/>
    <w:rsid w:val="00E929E6"/>
    <w:rsid w:val="00E95DB4"/>
    <w:rsid w:val="00EA689B"/>
    <w:rsid w:val="00EB3A30"/>
    <w:rsid w:val="00EC2078"/>
    <w:rsid w:val="00EC4BFA"/>
    <w:rsid w:val="00ED2F3F"/>
    <w:rsid w:val="00ED3DCD"/>
    <w:rsid w:val="00EE2EC8"/>
    <w:rsid w:val="00EE5780"/>
    <w:rsid w:val="00EF3D5B"/>
    <w:rsid w:val="00F151A8"/>
    <w:rsid w:val="00F26708"/>
    <w:rsid w:val="00F3280C"/>
    <w:rsid w:val="00F41778"/>
    <w:rsid w:val="00F76B19"/>
    <w:rsid w:val="00FC5624"/>
    <w:rsid w:val="00FD0EBC"/>
    <w:rsid w:val="00FD7A05"/>
    <w:rsid w:val="00FE6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17F6E"/>
  <w15:chartTrackingRefBased/>
  <w15:docId w15:val="{A825B77F-42D6-5548-8C7A-029BBD6DA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7A05"/>
    <w:pPr>
      <w:keepNext/>
      <w:keepLines/>
      <w:spacing w:before="360" w:after="80"/>
      <w:outlineLvl w:val="0"/>
    </w:pPr>
    <w:rPr>
      <w:rFonts w:ascii="Arial" w:eastAsiaTheme="majorEastAsia" w:hAnsi="Arial" w:cstheme="majorBidi"/>
      <w:b/>
      <w:color w:val="891D1D"/>
      <w:sz w:val="36"/>
      <w:szCs w:val="40"/>
    </w:rPr>
  </w:style>
  <w:style w:type="paragraph" w:styleId="Heading2">
    <w:name w:val="heading 2"/>
    <w:basedOn w:val="Normal"/>
    <w:next w:val="Normal"/>
    <w:link w:val="Heading2Char"/>
    <w:uiPriority w:val="9"/>
    <w:semiHidden/>
    <w:unhideWhenUsed/>
    <w:qFormat/>
    <w:rsid w:val="002E25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25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25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25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25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5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5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5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A05"/>
    <w:rPr>
      <w:rFonts w:ascii="Arial" w:eastAsiaTheme="majorEastAsia" w:hAnsi="Arial" w:cstheme="majorBidi"/>
      <w:b/>
      <w:color w:val="891D1D"/>
      <w:sz w:val="36"/>
      <w:szCs w:val="40"/>
    </w:rPr>
  </w:style>
  <w:style w:type="character" w:customStyle="1" w:styleId="Heading2Char">
    <w:name w:val="Heading 2 Char"/>
    <w:basedOn w:val="DefaultParagraphFont"/>
    <w:link w:val="Heading2"/>
    <w:uiPriority w:val="9"/>
    <w:semiHidden/>
    <w:rsid w:val="002E25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25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25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25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25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5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5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5B6"/>
    <w:rPr>
      <w:rFonts w:eastAsiaTheme="majorEastAsia" w:cstheme="majorBidi"/>
      <w:color w:val="272727" w:themeColor="text1" w:themeTint="D8"/>
    </w:rPr>
  </w:style>
  <w:style w:type="paragraph" w:styleId="Title">
    <w:name w:val="Title"/>
    <w:basedOn w:val="Normal"/>
    <w:next w:val="Normal"/>
    <w:link w:val="TitleChar"/>
    <w:uiPriority w:val="10"/>
    <w:qFormat/>
    <w:rsid w:val="002E25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5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5B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5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5B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E25B6"/>
    <w:rPr>
      <w:i/>
      <w:iCs/>
      <w:color w:val="404040" w:themeColor="text1" w:themeTint="BF"/>
    </w:rPr>
  </w:style>
  <w:style w:type="paragraph" w:styleId="ListParagraph">
    <w:name w:val="List Paragraph"/>
    <w:basedOn w:val="Normal"/>
    <w:uiPriority w:val="34"/>
    <w:qFormat/>
    <w:rsid w:val="002E25B6"/>
    <w:pPr>
      <w:ind w:left="720"/>
      <w:contextualSpacing/>
    </w:pPr>
  </w:style>
  <w:style w:type="character" w:styleId="IntenseEmphasis">
    <w:name w:val="Intense Emphasis"/>
    <w:basedOn w:val="DefaultParagraphFont"/>
    <w:uiPriority w:val="21"/>
    <w:qFormat/>
    <w:rsid w:val="002E25B6"/>
    <w:rPr>
      <w:i/>
      <w:iCs/>
      <w:color w:val="0F4761" w:themeColor="accent1" w:themeShade="BF"/>
    </w:rPr>
  </w:style>
  <w:style w:type="paragraph" w:styleId="IntenseQuote">
    <w:name w:val="Intense Quote"/>
    <w:basedOn w:val="Normal"/>
    <w:next w:val="Normal"/>
    <w:link w:val="IntenseQuoteChar"/>
    <w:uiPriority w:val="30"/>
    <w:qFormat/>
    <w:rsid w:val="002E25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5B6"/>
    <w:rPr>
      <w:i/>
      <w:iCs/>
      <w:color w:val="0F4761" w:themeColor="accent1" w:themeShade="BF"/>
    </w:rPr>
  </w:style>
  <w:style w:type="character" w:styleId="IntenseReference">
    <w:name w:val="Intense Reference"/>
    <w:basedOn w:val="DefaultParagraphFont"/>
    <w:uiPriority w:val="32"/>
    <w:qFormat/>
    <w:rsid w:val="002E25B6"/>
    <w:rPr>
      <w:b/>
      <w:bCs/>
      <w:smallCaps/>
      <w:color w:val="0F4761" w:themeColor="accent1" w:themeShade="BF"/>
      <w:spacing w:val="5"/>
    </w:rPr>
  </w:style>
  <w:style w:type="character" w:styleId="Hyperlink">
    <w:name w:val="Hyperlink"/>
    <w:basedOn w:val="DefaultParagraphFont"/>
    <w:uiPriority w:val="99"/>
    <w:unhideWhenUsed/>
    <w:rsid w:val="00B030D2"/>
    <w:rPr>
      <w:color w:val="467886" w:themeColor="hyperlink"/>
      <w:u w:val="single"/>
    </w:rPr>
  </w:style>
  <w:style w:type="character" w:customStyle="1" w:styleId="UnresolvedMention1">
    <w:name w:val="Unresolved Mention1"/>
    <w:basedOn w:val="DefaultParagraphFont"/>
    <w:uiPriority w:val="99"/>
    <w:semiHidden/>
    <w:unhideWhenUsed/>
    <w:rsid w:val="00B030D2"/>
    <w:rPr>
      <w:color w:val="605E5C"/>
      <w:shd w:val="clear" w:color="auto" w:fill="E1DFDD"/>
    </w:rPr>
  </w:style>
  <w:style w:type="paragraph" w:styleId="Header">
    <w:name w:val="header"/>
    <w:basedOn w:val="Normal"/>
    <w:link w:val="HeaderChar"/>
    <w:uiPriority w:val="99"/>
    <w:unhideWhenUsed/>
    <w:rsid w:val="00030D7A"/>
    <w:pPr>
      <w:tabs>
        <w:tab w:val="center" w:pos="4680"/>
        <w:tab w:val="right" w:pos="9360"/>
      </w:tabs>
    </w:pPr>
  </w:style>
  <w:style w:type="character" w:customStyle="1" w:styleId="HeaderChar">
    <w:name w:val="Header Char"/>
    <w:basedOn w:val="DefaultParagraphFont"/>
    <w:link w:val="Header"/>
    <w:uiPriority w:val="99"/>
    <w:rsid w:val="00030D7A"/>
  </w:style>
  <w:style w:type="paragraph" w:styleId="Footer">
    <w:name w:val="footer"/>
    <w:basedOn w:val="Normal"/>
    <w:link w:val="FooterChar"/>
    <w:uiPriority w:val="99"/>
    <w:unhideWhenUsed/>
    <w:rsid w:val="00030D7A"/>
    <w:pPr>
      <w:tabs>
        <w:tab w:val="center" w:pos="4680"/>
        <w:tab w:val="right" w:pos="9360"/>
      </w:tabs>
    </w:pPr>
  </w:style>
  <w:style w:type="character" w:customStyle="1" w:styleId="FooterChar">
    <w:name w:val="Footer Char"/>
    <w:basedOn w:val="DefaultParagraphFont"/>
    <w:link w:val="Footer"/>
    <w:uiPriority w:val="99"/>
    <w:rsid w:val="00030D7A"/>
  </w:style>
  <w:style w:type="paragraph" w:styleId="FootnoteText">
    <w:name w:val="footnote text"/>
    <w:basedOn w:val="Normal"/>
    <w:link w:val="FootnoteTextChar"/>
    <w:uiPriority w:val="99"/>
    <w:unhideWhenUsed/>
    <w:rsid w:val="006B190E"/>
    <w:rPr>
      <w:rFonts w:ascii="Arial" w:eastAsia="MS Mincho" w:hAnsi="Arial" w:cs="Times New Roman"/>
      <w:color w:val="000000" w:themeColor="text1"/>
      <w:kern w:val="0"/>
      <w:sz w:val="20"/>
      <w:szCs w:val="20"/>
      <w:lang w:val="en-GB"/>
      <w14:ligatures w14:val="none"/>
    </w:rPr>
  </w:style>
  <w:style w:type="character" w:customStyle="1" w:styleId="FootnoteTextChar">
    <w:name w:val="Footnote Text Char"/>
    <w:basedOn w:val="DefaultParagraphFont"/>
    <w:link w:val="FootnoteText"/>
    <w:uiPriority w:val="99"/>
    <w:rsid w:val="006B190E"/>
    <w:rPr>
      <w:rFonts w:ascii="Arial" w:eastAsia="MS Mincho" w:hAnsi="Arial" w:cs="Times New Roman"/>
      <w:color w:val="000000" w:themeColor="text1"/>
      <w:kern w:val="0"/>
      <w:sz w:val="20"/>
      <w:szCs w:val="20"/>
      <w:lang w:val="en-GB"/>
      <w14:ligatures w14:val="none"/>
    </w:rPr>
  </w:style>
  <w:style w:type="character" w:styleId="FootnoteReference">
    <w:name w:val="footnote reference"/>
    <w:basedOn w:val="DefaultParagraphFont"/>
    <w:uiPriority w:val="99"/>
    <w:semiHidden/>
    <w:unhideWhenUsed/>
    <w:rsid w:val="006B190E"/>
    <w:rPr>
      <w:vertAlign w:val="superscript"/>
    </w:rPr>
  </w:style>
  <w:style w:type="table" w:styleId="TableGrid">
    <w:name w:val="Table Grid"/>
    <w:basedOn w:val="TableNormal"/>
    <w:uiPriority w:val="39"/>
    <w:rsid w:val="00844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844964"/>
    <w:pPr>
      <w:spacing w:after="200" w:line="480" w:lineRule="auto"/>
    </w:pPr>
    <w:rPr>
      <w:rFonts w:ascii="Arial" w:eastAsia="MS Mincho" w:hAnsi="Arial" w:cs="Times New Roman"/>
      <w:iCs/>
      <w:color w:val="0E2841" w:themeColor="text2"/>
      <w:kern w:val="0"/>
      <w:sz w:val="22"/>
      <w:szCs w:val="18"/>
      <w:lang w:val="en-GB"/>
      <w14:ligatures w14:val="none"/>
    </w:rPr>
  </w:style>
  <w:style w:type="character" w:styleId="FollowedHyperlink">
    <w:name w:val="FollowedHyperlink"/>
    <w:basedOn w:val="DefaultParagraphFont"/>
    <w:uiPriority w:val="99"/>
    <w:semiHidden/>
    <w:unhideWhenUsed/>
    <w:rsid w:val="002438D4"/>
    <w:rPr>
      <w:color w:val="96607D" w:themeColor="followedHyperlink"/>
      <w:u w:val="single"/>
    </w:rPr>
  </w:style>
  <w:style w:type="character" w:styleId="PlaceholderText">
    <w:name w:val="Placeholder Text"/>
    <w:basedOn w:val="DefaultParagraphFont"/>
    <w:uiPriority w:val="99"/>
    <w:semiHidden/>
    <w:rsid w:val="00040968"/>
    <w:rPr>
      <w:color w:val="666666"/>
    </w:rPr>
  </w:style>
  <w:style w:type="paragraph" w:styleId="Revision">
    <w:name w:val="Revision"/>
    <w:hidden/>
    <w:uiPriority w:val="99"/>
    <w:semiHidden/>
    <w:rsid w:val="00F151A8"/>
  </w:style>
  <w:style w:type="paragraph" w:styleId="BalloonText">
    <w:name w:val="Balloon Text"/>
    <w:basedOn w:val="Normal"/>
    <w:link w:val="BalloonTextChar"/>
    <w:uiPriority w:val="99"/>
    <w:semiHidden/>
    <w:unhideWhenUsed/>
    <w:rsid w:val="00D14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A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15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yperlink" Target="mailto:sirui.wu@ubc.c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doi.org/10.7275/pare.2726"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gif"/><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orcid.org/0000-0003-2418-0758" TargetMode="External"/><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s://creativecommons.org/licenses/by/4.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4835E-0481-4065-B4DD-096459883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5485</Words>
  <Characters>31265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Zenisky</dc:creator>
  <cp:keywords/>
  <dc:description/>
  <cp:lastModifiedBy>April Zenisky</cp:lastModifiedBy>
  <cp:revision>2</cp:revision>
  <cp:lastPrinted>2025-05-21T13:35:00Z</cp:lastPrinted>
  <dcterms:created xsi:type="dcterms:W3CDTF">2025-08-08T13:28:00Z</dcterms:created>
  <dcterms:modified xsi:type="dcterms:W3CDTF">2025-08-08T13:28:00Z</dcterms:modified>
</cp:coreProperties>
</file>